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2FD86">
      <w:pPr>
        <w:jc w:val="center"/>
        <w:rPr>
          <w:rFonts w:ascii="黑体" w:hAnsi="黑体" w:eastAsia="黑体" w:cs="黑体"/>
          <w:b/>
          <w:bCs/>
          <w:color w:val="auto"/>
          <w:sz w:val="36"/>
          <w:szCs w:val="36"/>
        </w:rPr>
      </w:pPr>
      <w:bookmarkStart w:id="0" w:name="_GoBack"/>
      <w:r>
        <w:rPr>
          <w:rFonts w:hint="eastAsia" w:ascii="黑体" w:hAnsi="黑体" w:eastAsia="黑体" w:cs="黑体"/>
          <w:b/>
          <w:bCs/>
          <w:color w:val="auto"/>
          <w:sz w:val="36"/>
          <w:szCs w:val="36"/>
        </w:rPr>
        <w:t>2024年“古邑分水杯”</w:t>
      </w:r>
    </w:p>
    <w:p w14:paraId="3E13EB5E">
      <w:pPr>
        <w:jc w:val="center"/>
        <w:rPr>
          <w:rFonts w:ascii="黑体" w:hAnsi="黑体" w:eastAsia="黑体" w:cs="黑体"/>
          <w:b/>
          <w:bCs/>
          <w:color w:val="auto"/>
          <w:sz w:val="36"/>
          <w:szCs w:val="36"/>
        </w:rPr>
      </w:pPr>
      <w:r>
        <w:rPr>
          <w:rFonts w:hint="eastAsia" w:ascii="黑体" w:hAnsi="黑体" w:eastAsia="黑体" w:cs="黑体"/>
          <w:b/>
          <w:bCs/>
          <w:color w:val="auto"/>
          <w:sz w:val="36"/>
          <w:szCs w:val="36"/>
        </w:rPr>
        <w:t>浙江省首届和美乡村太极拳联赛总决赛规程</w:t>
      </w:r>
    </w:p>
    <w:p w14:paraId="7650342C">
      <w:pPr>
        <w:pStyle w:val="6"/>
        <w:spacing w:line="360" w:lineRule="auto"/>
        <w:ind w:left="0" w:firstLine="0"/>
        <w:rPr>
          <w:b/>
          <w:bCs/>
          <w:color w:val="auto"/>
          <w:sz w:val="28"/>
          <w:szCs w:val="28"/>
        </w:rPr>
      </w:pPr>
    </w:p>
    <w:p w14:paraId="1D16262A">
      <w:pPr>
        <w:widowControl/>
        <w:adjustRightInd w:val="0"/>
        <w:snapToGrid w:val="0"/>
        <w:spacing w:line="560" w:lineRule="exact"/>
        <w:ind w:firstLine="560" w:firstLineChars="200"/>
        <w:jc w:val="left"/>
        <w:rPr>
          <w:rFonts w:ascii="仿宋" w:hAnsi="仿宋" w:eastAsia="仿宋" w:cs="仿宋"/>
          <w:color w:val="auto"/>
          <w:kern w:val="0"/>
          <w:sz w:val="28"/>
          <w:szCs w:val="28"/>
        </w:rPr>
      </w:pPr>
      <w:r>
        <w:rPr>
          <w:rFonts w:hint="eastAsia" w:ascii="仿宋" w:hAnsi="仿宋" w:eastAsia="仿宋" w:cs="仿宋"/>
          <w:color w:val="auto"/>
          <w:sz w:val="28"/>
          <w:szCs w:val="28"/>
        </w:rPr>
        <w:t>为深入学习贯彻党的二十大精神，贯彻落实国家体育总局、农业农村部等12部委《关于推进体育助力乡村振兴工作的指导意见》、浙江省实施全民健身计划领导小组《浙江省构建更高水平的全民健身公共服务体系任务分工方案》关于“培育100项以上和美丽乡村体育赛事”的相关要求，围绕省委十五届四次全会、今年省“两会”精神，在浙江体育强省、赛事强省建设中积极作为，根据总局武术中心鼓励健身站点之间开展交流、学习、展示、比赛等活动，决定举办2024年</w:t>
      </w:r>
      <w:r>
        <w:rPr>
          <w:rFonts w:hint="eastAsia" w:ascii="仿宋" w:hAnsi="仿宋" w:eastAsia="仿宋" w:cs="仿宋"/>
          <w:color w:val="auto"/>
          <w:kern w:val="0"/>
          <w:sz w:val="28"/>
          <w:szCs w:val="28"/>
        </w:rPr>
        <w:t>“古邑分水杯”浙江省首届和美乡村太极拳联赛总决赛。</w:t>
      </w:r>
    </w:p>
    <w:p w14:paraId="751B15DD">
      <w:pPr>
        <w:pStyle w:val="6"/>
        <w:adjustRightInd w:val="0"/>
        <w:snapToGrid w:val="0"/>
        <w:spacing w:line="560" w:lineRule="exact"/>
        <w:ind w:left="0" w:firstLine="561" w:firstLineChars="200"/>
        <w:rPr>
          <w:rFonts w:ascii="方正大黑简体" w:hAnsi="方正大黑简体" w:eastAsia="方正大黑简体" w:cs="方正大黑简体"/>
          <w:b/>
          <w:bCs/>
          <w:color w:val="auto"/>
          <w:sz w:val="28"/>
          <w:szCs w:val="28"/>
          <w:lang w:val="en-US"/>
        </w:rPr>
      </w:pPr>
      <w:r>
        <w:rPr>
          <w:rFonts w:hint="eastAsia" w:ascii="方正大黑简体" w:hAnsi="方正大黑简体" w:eastAsia="方正大黑简体" w:cs="方正大黑简体"/>
          <w:b/>
          <w:bCs/>
          <w:color w:val="auto"/>
          <w:sz w:val="28"/>
          <w:szCs w:val="28"/>
          <w:lang w:val="en-US"/>
        </w:rPr>
        <w:t>一、举办单位：</w:t>
      </w:r>
    </w:p>
    <w:p w14:paraId="37CA6FB6">
      <w:pPr>
        <w:adjustRightInd w:val="0"/>
        <w:snapToGrid w:val="0"/>
        <w:spacing w:line="560" w:lineRule="exact"/>
        <w:ind w:firstLine="562" w:firstLineChars="200"/>
        <w:rPr>
          <w:rFonts w:ascii="仿宋" w:hAnsi="仿宋" w:eastAsia="仿宋" w:cs="仿宋"/>
          <w:color w:val="auto"/>
          <w:sz w:val="28"/>
          <w:szCs w:val="28"/>
        </w:rPr>
      </w:pPr>
      <w:r>
        <w:rPr>
          <w:rFonts w:hint="eastAsia" w:ascii="仿宋" w:hAnsi="仿宋" w:eastAsia="仿宋" w:cs="仿宋"/>
          <w:b/>
          <w:bCs/>
          <w:color w:val="auto"/>
          <w:sz w:val="28"/>
          <w:szCs w:val="28"/>
        </w:rPr>
        <w:t>主办单位：</w:t>
      </w:r>
      <w:r>
        <w:rPr>
          <w:rFonts w:hint="eastAsia" w:ascii="仿宋" w:hAnsi="仿宋" w:eastAsia="仿宋" w:cs="仿宋"/>
          <w:color w:val="auto"/>
          <w:sz w:val="28"/>
          <w:szCs w:val="28"/>
        </w:rPr>
        <w:t>桐庐县人民政府</w:t>
      </w:r>
    </w:p>
    <w:p w14:paraId="391FF647">
      <w:pPr>
        <w:adjustRightInd w:val="0"/>
        <w:snapToGrid w:val="0"/>
        <w:spacing w:line="560" w:lineRule="exact"/>
        <w:ind w:firstLine="1960" w:firstLineChars="700"/>
        <w:rPr>
          <w:rFonts w:ascii="仿宋" w:hAnsi="仿宋" w:eastAsia="仿宋" w:cs="仿宋"/>
          <w:color w:val="auto"/>
          <w:sz w:val="28"/>
          <w:szCs w:val="28"/>
        </w:rPr>
      </w:pPr>
      <w:r>
        <w:rPr>
          <w:rFonts w:hint="eastAsia" w:ascii="仿宋" w:hAnsi="仿宋" w:eastAsia="仿宋" w:cs="仿宋"/>
          <w:color w:val="auto"/>
          <w:sz w:val="28"/>
          <w:szCs w:val="28"/>
        </w:rPr>
        <w:t>浙江省武术协会</w:t>
      </w:r>
    </w:p>
    <w:p w14:paraId="39B958BC">
      <w:pPr>
        <w:adjustRightInd w:val="0"/>
        <w:snapToGrid w:val="0"/>
        <w:spacing w:line="560" w:lineRule="exact"/>
        <w:ind w:firstLine="562" w:firstLineChars="200"/>
        <w:rPr>
          <w:rFonts w:ascii="仿宋" w:hAnsi="仿宋" w:eastAsia="仿宋" w:cs="仿宋"/>
          <w:color w:val="auto"/>
          <w:sz w:val="28"/>
          <w:szCs w:val="28"/>
        </w:rPr>
      </w:pPr>
      <w:r>
        <w:rPr>
          <w:rFonts w:hint="eastAsia" w:ascii="仿宋" w:hAnsi="仿宋" w:eastAsia="仿宋" w:cs="仿宋"/>
          <w:b/>
          <w:bCs/>
          <w:color w:val="auto"/>
          <w:sz w:val="28"/>
          <w:szCs w:val="28"/>
        </w:rPr>
        <w:t>承办单位：</w:t>
      </w:r>
      <w:r>
        <w:rPr>
          <w:rFonts w:hint="eastAsia" w:ascii="仿宋" w:hAnsi="仿宋" w:eastAsia="仿宋" w:cs="仿宋"/>
          <w:color w:val="auto"/>
          <w:sz w:val="28"/>
          <w:szCs w:val="28"/>
        </w:rPr>
        <w:t>桐庐县分水镇人民政府</w:t>
      </w:r>
    </w:p>
    <w:p w14:paraId="1BF48302">
      <w:pPr>
        <w:adjustRightInd w:val="0"/>
        <w:snapToGrid w:val="0"/>
        <w:spacing w:line="560" w:lineRule="exact"/>
        <w:ind w:firstLine="1960" w:firstLineChars="700"/>
        <w:rPr>
          <w:rFonts w:ascii="仿宋" w:hAnsi="仿宋" w:eastAsia="仿宋" w:cs="仿宋"/>
          <w:color w:val="auto"/>
          <w:sz w:val="28"/>
          <w:szCs w:val="28"/>
        </w:rPr>
      </w:pPr>
      <w:r>
        <w:rPr>
          <w:rFonts w:hint="eastAsia" w:ascii="仿宋" w:hAnsi="仿宋" w:eastAsia="仿宋" w:cs="仿宋"/>
          <w:color w:val="auto"/>
          <w:sz w:val="28"/>
          <w:szCs w:val="28"/>
        </w:rPr>
        <w:t>桐庐县文化和广电旅游体育局</w:t>
      </w:r>
    </w:p>
    <w:p w14:paraId="3289177A">
      <w:pPr>
        <w:adjustRightInd w:val="0"/>
        <w:snapToGrid w:val="0"/>
        <w:spacing w:line="560" w:lineRule="exact"/>
        <w:ind w:firstLine="1960" w:firstLineChars="700"/>
        <w:rPr>
          <w:rFonts w:ascii="仿宋" w:hAnsi="仿宋" w:eastAsia="仿宋" w:cs="仿宋"/>
          <w:color w:val="auto"/>
          <w:sz w:val="28"/>
          <w:szCs w:val="28"/>
        </w:rPr>
      </w:pPr>
      <w:r>
        <w:rPr>
          <w:rFonts w:hint="eastAsia" w:ascii="仿宋" w:hAnsi="仿宋" w:eastAsia="仿宋" w:cs="仿宋"/>
          <w:color w:val="auto"/>
          <w:sz w:val="28"/>
          <w:szCs w:val="28"/>
        </w:rPr>
        <w:t>桐庐县文化艺术联合会</w:t>
      </w:r>
    </w:p>
    <w:p w14:paraId="51683695">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浙江省武术协会赛事</w:t>
      </w:r>
      <w:r>
        <w:rPr>
          <w:rFonts w:hint="eastAsia" w:ascii="仿宋" w:hAnsi="仿宋" w:eastAsia="仿宋" w:cs="仿宋"/>
          <w:b/>
          <w:bCs/>
          <w:color w:val="auto"/>
          <w:sz w:val="28"/>
          <w:szCs w:val="28"/>
        </w:rPr>
        <w:t>执行部门</w:t>
      </w:r>
      <w:r>
        <w:rPr>
          <w:rFonts w:hint="eastAsia" w:ascii="仿宋" w:hAnsi="仿宋" w:eastAsia="仿宋" w:cs="仿宋"/>
          <w:color w:val="auto"/>
          <w:sz w:val="28"/>
          <w:szCs w:val="28"/>
        </w:rPr>
        <w:t>：浙江省武术协会太极拳专业委员会（筹）</w:t>
      </w:r>
    </w:p>
    <w:p w14:paraId="00B54B08">
      <w:pPr>
        <w:adjustRightInd w:val="0"/>
        <w:snapToGrid w:val="0"/>
        <w:spacing w:line="560" w:lineRule="exact"/>
        <w:ind w:left="479" w:leftChars="228"/>
        <w:rPr>
          <w:rFonts w:ascii="仿宋" w:hAnsi="仿宋" w:eastAsia="仿宋" w:cs="仿宋"/>
          <w:color w:val="auto"/>
          <w:sz w:val="28"/>
          <w:szCs w:val="28"/>
        </w:rPr>
      </w:pPr>
      <w:r>
        <w:rPr>
          <w:rFonts w:hint="eastAsia" w:ascii="仿宋" w:hAnsi="仿宋" w:eastAsia="仿宋" w:cs="仿宋"/>
          <w:color w:val="auto"/>
          <w:sz w:val="28"/>
          <w:szCs w:val="28"/>
        </w:rPr>
        <w:t>桐庐县文广旅游体育局</w:t>
      </w:r>
      <w:r>
        <w:rPr>
          <w:rFonts w:hint="eastAsia" w:ascii="仿宋" w:hAnsi="仿宋" w:eastAsia="仿宋" w:cs="仿宋"/>
          <w:b/>
          <w:bCs/>
          <w:color w:val="auto"/>
          <w:sz w:val="28"/>
          <w:szCs w:val="28"/>
        </w:rPr>
        <w:t>执行单位</w:t>
      </w:r>
      <w:r>
        <w:rPr>
          <w:rFonts w:hint="eastAsia" w:ascii="仿宋" w:hAnsi="仿宋" w:eastAsia="仿宋" w:cs="仿宋"/>
          <w:color w:val="auto"/>
          <w:sz w:val="28"/>
          <w:szCs w:val="28"/>
        </w:rPr>
        <w:t>： 桐庐县武术协会</w:t>
      </w:r>
    </w:p>
    <w:p w14:paraId="78453B66">
      <w:pPr>
        <w:adjustRightInd w:val="0"/>
        <w:snapToGrid w:val="0"/>
        <w:spacing w:line="560" w:lineRule="exact"/>
        <w:ind w:left="479" w:leftChars="228"/>
        <w:rPr>
          <w:rFonts w:ascii="仿宋" w:hAnsi="仿宋" w:eastAsia="仿宋" w:cs="仿宋"/>
          <w:color w:val="auto"/>
          <w:sz w:val="28"/>
          <w:szCs w:val="28"/>
        </w:rPr>
      </w:pPr>
      <w:r>
        <w:rPr>
          <w:rFonts w:hint="eastAsia" w:ascii="仿宋" w:hAnsi="仿宋" w:eastAsia="仿宋" w:cs="仿宋"/>
          <w:b/>
          <w:bCs/>
          <w:color w:val="auto"/>
          <w:sz w:val="28"/>
          <w:szCs w:val="28"/>
        </w:rPr>
        <w:t>运营单位：</w:t>
      </w:r>
      <w:r>
        <w:rPr>
          <w:rFonts w:hint="eastAsia" w:ascii="仿宋" w:hAnsi="仿宋" w:eastAsia="仿宋" w:cs="仿宋"/>
          <w:color w:val="auto"/>
          <w:sz w:val="28"/>
          <w:szCs w:val="28"/>
        </w:rPr>
        <w:t>杭州市德厚紫月文化传播有限公司</w:t>
      </w:r>
    </w:p>
    <w:p w14:paraId="21F95FBF">
      <w:pPr>
        <w:adjustRightInd w:val="0"/>
        <w:snapToGrid w:val="0"/>
        <w:spacing w:line="560" w:lineRule="exact"/>
        <w:ind w:firstLine="562" w:firstLineChars="200"/>
        <w:rPr>
          <w:rFonts w:ascii="仿宋" w:hAnsi="仿宋" w:eastAsia="仿宋" w:cs="仿宋"/>
          <w:color w:val="auto"/>
          <w:sz w:val="28"/>
          <w:szCs w:val="28"/>
        </w:rPr>
      </w:pPr>
      <w:r>
        <w:rPr>
          <w:rFonts w:hint="eastAsia" w:ascii="仿宋" w:hAnsi="仿宋" w:eastAsia="仿宋" w:cs="仿宋"/>
          <w:b/>
          <w:bCs/>
          <w:color w:val="auto"/>
          <w:sz w:val="28"/>
          <w:szCs w:val="28"/>
        </w:rPr>
        <w:t>冠名支持：</w:t>
      </w:r>
      <w:r>
        <w:rPr>
          <w:rFonts w:hint="eastAsia" w:ascii="仿宋" w:hAnsi="仿宋" w:eastAsia="仿宋" w:cs="仿宋"/>
          <w:color w:val="auto"/>
          <w:sz w:val="28"/>
          <w:szCs w:val="28"/>
        </w:rPr>
        <w:t>桐庐县分水镇人民政府</w:t>
      </w:r>
    </w:p>
    <w:p w14:paraId="104EF4C8">
      <w:pPr>
        <w:adjustRightInd w:val="0"/>
        <w:snapToGrid w:val="0"/>
        <w:spacing w:line="560" w:lineRule="exact"/>
        <w:ind w:firstLine="1120" w:firstLineChars="400"/>
        <w:rPr>
          <w:rFonts w:ascii="仿宋" w:hAnsi="仿宋" w:eastAsia="仿宋" w:cs="仿宋"/>
          <w:color w:val="auto"/>
          <w:sz w:val="28"/>
          <w:szCs w:val="28"/>
        </w:rPr>
      </w:pPr>
      <w:r>
        <w:rPr>
          <w:rFonts w:hint="eastAsia" w:ascii="仿宋" w:hAnsi="仿宋" w:eastAsia="仿宋" w:cs="仿宋"/>
          <w:color w:val="auto"/>
          <w:sz w:val="28"/>
          <w:szCs w:val="28"/>
        </w:rPr>
        <w:t>总决赛主办地桐庐县分水镇简介，详见附件1。</w:t>
      </w:r>
    </w:p>
    <w:p w14:paraId="749286B7">
      <w:pPr>
        <w:adjustRightInd w:val="0"/>
        <w:snapToGrid w:val="0"/>
        <w:spacing w:line="560" w:lineRule="exact"/>
        <w:ind w:firstLine="561" w:firstLineChars="200"/>
        <w:rPr>
          <w:rFonts w:ascii="方正大黑简体" w:hAnsi="方正大黑简体" w:eastAsia="方正大黑简体" w:cs="方正大黑简体"/>
          <w:b/>
          <w:bCs/>
          <w:color w:val="auto"/>
          <w:sz w:val="28"/>
          <w:szCs w:val="28"/>
        </w:rPr>
      </w:pPr>
      <w:r>
        <w:rPr>
          <w:rFonts w:hint="eastAsia" w:ascii="方正大黑简体" w:hAnsi="方正大黑简体" w:eastAsia="方正大黑简体" w:cs="方正大黑简体"/>
          <w:b/>
          <w:bCs/>
          <w:color w:val="auto"/>
          <w:sz w:val="28"/>
          <w:szCs w:val="28"/>
        </w:rPr>
        <w:t>二、比赛时间和地点：</w:t>
      </w:r>
    </w:p>
    <w:p w14:paraId="0EDA46F0">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时间：2024年11月22</w:t>
      </w:r>
      <w:r>
        <w:rPr>
          <w:rFonts w:ascii="仿宋" w:hAnsi="仿宋" w:eastAsia="仿宋" w:cs="仿宋"/>
          <w:color w:val="auto"/>
          <w:sz w:val="28"/>
          <w:szCs w:val="28"/>
        </w:rPr>
        <w:t>-2</w:t>
      </w:r>
      <w:r>
        <w:rPr>
          <w:rFonts w:hint="eastAsia" w:ascii="仿宋" w:hAnsi="仿宋" w:eastAsia="仿宋" w:cs="仿宋"/>
          <w:color w:val="auto"/>
          <w:sz w:val="28"/>
          <w:szCs w:val="28"/>
        </w:rPr>
        <w:t>4日;</w:t>
      </w:r>
    </w:p>
    <w:p w14:paraId="5D8E6722">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地点：桐庐分水镇中心广场</w:t>
      </w:r>
    </w:p>
    <w:p w14:paraId="3C6D5A75">
      <w:pPr>
        <w:adjustRightInd w:val="0"/>
        <w:snapToGrid w:val="0"/>
        <w:spacing w:line="560" w:lineRule="exact"/>
        <w:ind w:firstLine="561" w:firstLineChars="200"/>
        <w:rPr>
          <w:rFonts w:ascii="方正大黑简体" w:hAnsi="方正大黑简体" w:eastAsia="方正大黑简体" w:cs="方正大黑简体"/>
          <w:b/>
          <w:bCs/>
          <w:color w:val="auto"/>
          <w:sz w:val="28"/>
          <w:szCs w:val="28"/>
        </w:rPr>
      </w:pPr>
      <w:r>
        <w:rPr>
          <w:rFonts w:hint="eastAsia" w:ascii="方正大黑简体" w:hAnsi="方正大黑简体" w:eastAsia="方正大黑简体" w:cs="方正大黑简体"/>
          <w:b/>
          <w:bCs/>
          <w:color w:val="auto"/>
          <w:sz w:val="28"/>
          <w:szCs w:val="28"/>
        </w:rPr>
        <w:t>三、参加单位：</w:t>
      </w:r>
    </w:p>
    <w:p w14:paraId="12398B52">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由全省各市、县（市、区）武术协会（武术组织），组织所属各级各类武术辅导站，以武术辅导站的名义参赛。</w:t>
      </w:r>
    </w:p>
    <w:p w14:paraId="16BA9ABC">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特别要鼓励基层村、居（社区）一级的武术辅导站积极参赛。暂未登记成立武术辅导站的，请按要求填写《浙江省基层武术辅导站基本情况登记表》、《浙江省基层武术辅导站信息汇总表》（见附件2、附件3），报名时同时提交总决赛组委会。</w:t>
      </w:r>
    </w:p>
    <w:p w14:paraId="62A7EC5F">
      <w:pPr>
        <w:adjustRightInd w:val="0"/>
        <w:snapToGrid w:val="0"/>
        <w:spacing w:line="560" w:lineRule="exact"/>
        <w:ind w:firstLine="561" w:firstLineChars="200"/>
        <w:rPr>
          <w:rFonts w:ascii="方正大黑简体" w:hAnsi="方正大黑简体" w:eastAsia="方正大黑简体" w:cs="方正大黑简体"/>
          <w:b/>
          <w:bCs/>
          <w:color w:val="auto"/>
          <w:sz w:val="28"/>
          <w:szCs w:val="28"/>
        </w:rPr>
      </w:pPr>
      <w:r>
        <w:rPr>
          <w:rFonts w:hint="eastAsia" w:ascii="方正大黑简体" w:hAnsi="方正大黑简体" w:eastAsia="方正大黑简体" w:cs="方正大黑简体"/>
          <w:b/>
          <w:bCs/>
          <w:color w:val="auto"/>
          <w:sz w:val="28"/>
          <w:szCs w:val="28"/>
        </w:rPr>
        <w:t>四、武术辅导站分组：</w:t>
      </w:r>
    </w:p>
    <w:p w14:paraId="215F5F54">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一）总决赛突出辅导站大比武。形成村居（社区）之间、乡镇（街道）之间武术辅导站在参赛人数、技术水平、活动组织、武德风貌等方面大比武。总决赛分别设置村、居（社区）辅导站组、乡镇街道及以上（含机关企事业单位）辅导站组和学校（含武馆武校）辅导站组等三个大组。</w:t>
      </w:r>
    </w:p>
    <w:p w14:paraId="0180A133">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在三大组的基础上，分别按年龄、性别分组。其中学校组（含武馆武校）参赛报名如不足30个辅导站，则不单独分组，其中中小学武术辅导站并入村、居（社区）辅导站组，武馆武校辅导站并入乡镇街道及以上辅导站组。</w:t>
      </w:r>
    </w:p>
    <w:p w14:paraId="22F0A016">
      <w:pPr>
        <w:adjustRightInd w:val="0"/>
        <w:snapToGrid w:val="0"/>
        <w:spacing w:line="560" w:lineRule="exact"/>
        <w:ind w:firstLine="561" w:firstLineChars="200"/>
        <w:rPr>
          <w:rFonts w:ascii="方正大黑简体" w:hAnsi="方正大黑简体" w:eastAsia="方正大黑简体" w:cs="方正大黑简体"/>
          <w:b/>
          <w:bCs/>
          <w:color w:val="auto"/>
          <w:sz w:val="28"/>
          <w:szCs w:val="28"/>
        </w:rPr>
      </w:pPr>
      <w:r>
        <w:rPr>
          <w:rFonts w:hint="eastAsia" w:ascii="方正大黑简体" w:hAnsi="方正大黑简体" w:eastAsia="方正大黑简体" w:cs="方正大黑简体"/>
          <w:b/>
          <w:bCs/>
          <w:color w:val="auto"/>
          <w:sz w:val="28"/>
          <w:szCs w:val="28"/>
        </w:rPr>
        <w:t>五、总决赛的竞赛项目：</w:t>
      </w:r>
    </w:p>
    <w:p w14:paraId="446C46D5">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（一）总决赛突出个人项目与集体项目并重。村、居（社区）组、乡镇街道及以上组参赛项目：太极拳、械各类单练、</w:t>
      </w:r>
      <w:r>
        <w:rPr>
          <w:rFonts w:hint="eastAsia" w:ascii="仿宋" w:hAnsi="仿宋" w:eastAsia="仿宋" w:cs="仿宋"/>
          <w:color w:val="auto"/>
          <w:sz w:val="28"/>
          <w:szCs w:val="28"/>
        </w:rPr>
        <w:t>双人练</w:t>
      </w:r>
      <w:r>
        <w:rPr>
          <w:rFonts w:hint="eastAsia" w:ascii="仿宋" w:hAnsi="仿宋" w:eastAsia="仿宋" w:cs="仿宋"/>
          <w:color w:val="auto"/>
          <w:sz w:val="28"/>
          <w:szCs w:val="28"/>
        </w:rPr>
        <w:t>、对练、集体项目。</w:t>
      </w:r>
    </w:p>
    <w:p w14:paraId="7303A0EA">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学校组（含武馆武校）参赛项目：兼顾学校特色和少年儿童特点，学校组（含武馆武校）武术辅导站可以在参加太极拳类项目的同时，选择部分其它武术拳种项目参赛，包括其它自选拳术、自选器械、规定拳术、规定器械、传统拳术、传统器械单人和对练项目。集体项目包括小学武术健身操：《旭日东升》、《雏鹰展翅》、集体基本功、学校特色个人项目和集体项目等，参赛项目请在报名时注明（由组委会根据参赛报名情况编定参赛项目编号）。</w:t>
      </w:r>
    </w:p>
    <w:p w14:paraId="1B608D1B">
      <w:pPr>
        <w:adjustRightInd w:val="0"/>
        <w:snapToGrid w:val="0"/>
        <w:spacing w:line="560" w:lineRule="exact"/>
        <w:ind w:firstLine="560" w:firstLineChars="200"/>
        <w:rPr>
          <w:rFonts w:ascii="仿宋" w:hAnsi="仿宋" w:eastAsia="仿宋" w:cs="仿宋"/>
          <w:color w:val="auto"/>
          <w:sz w:val="28"/>
          <w:szCs w:val="28"/>
        </w:rPr>
      </w:pPr>
      <w:r>
        <w:rPr>
          <w:rFonts w:ascii="仿宋" w:hAnsi="仿宋" w:eastAsia="仿宋" w:cs="仿宋"/>
          <w:color w:val="auto"/>
          <w:sz w:val="28"/>
          <w:szCs w:val="28"/>
        </w:rPr>
        <w:t>详见附件</w:t>
      </w:r>
      <w:r>
        <w:rPr>
          <w:rFonts w:hint="eastAsia" w:ascii="仿宋" w:hAnsi="仿宋" w:eastAsia="仿宋" w:cs="仿宋"/>
          <w:color w:val="auto"/>
          <w:sz w:val="28"/>
          <w:szCs w:val="28"/>
        </w:rPr>
        <w:t>4</w:t>
      </w:r>
      <w:r>
        <w:rPr>
          <w:rFonts w:ascii="仿宋" w:hAnsi="仿宋" w:eastAsia="仿宋" w:cs="仿宋"/>
          <w:color w:val="auto"/>
          <w:sz w:val="28"/>
          <w:szCs w:val="28"/>
        </w:rPr>
        <w:t>：</w:t>
      </w:r>
      <w:r>
        <w:rPr>
          <w:rFonts w:hint="eastAsia" w:ascii="仿宋" w:hAnsi="仿宋" w:eastAsia="仿宋" w:cs="仿宋"/>
          <w:color w:val="auto"/>
          <w:sz w:val="28"/>
          <w:szCs w:val="28"/>
        </w:rPr>
        <w:t>《</w:t>
      </w:r>
      <w:r>
        <w:rPr>
          <w:rFonts w:ascii="仿宋" w:hAnsi="仿宋" w:eastAsia="仿宋" w:cs="仿宋"/>
          <w:color w:val="auto"/>
          <w:sz w:val="28"/>
          <w:szCs w:val="28"/>
        </w:rPr>
        <w:t>报名项目分类编号表</w:t>
      </w:r>
      <w:r>
        <w:rPr>
          <w:rFonts w:hint="eastAsia" w:ascii="仿宋" w:hAnsi="仿宋" w:eastAsia="仿宋" w:cs="仿宋"/>
          <w:color w:val="auto"/>
          <w:sz w:val="28"/>
          <w:szCs w:val="28"/>
        </w:rPr>
        <w:t>》</w:t>
      </w:r>
      <w:r>
        <w:rPr>
          <w:rFonts w:ascii="仿宋" w:hAnsi="仿宋" w:eastAsia="仿宋" w:cs="仿宋"/>
          <w:color w:val="auto"/>
          <w:sz w:val="28"/>
          <w:szCs w:val="28"/>
        </w:rPr>
        <w:t>。</w:t>
      </w:r>
    </w:p>
    <w:p w14:paraId="12061060">
      <w:pPr>
        <w:adjustRightInd w:val="0"/>
        <w:snapToGrid w:val="0"/>
        <w:spacing w:line="560" w:lineRule="exact"/>
        <w:ind w:firstLine="561" w:firstLineChars="200"/>
        <w:rPr>
          <w:rFonts w:ascii="方正大黑简体" w:hAnsi="方正大黑简体" w:eastAsia="方正大黑简体" w:cs="方正大黑简体"/>
          <w:b/>
          <w:bCs/>
          <w:color w:val="auto"/>
          <w:sz w:val="28"/>
          <w:szCs w:val="28"/>
        </w:rPr>
      </w:pPr>
      <w:r>
        <w:rPr>
          <w:rFonts w:hint="eastAsia" w:ascii="方正大黑简体" w:hAnsi="方正大黑简体" w:eastAsia="方正大黑简体" w:cs="方正大黑简体"/>
          <w:b/>
          <w:bCs/>
          <w:color w:val="auto"/>
          <w:sz w:val="28"/>
          <w:szCs w:val="28"/>
        </w:rPr>
        <w:t>六、总决赛的综合项目</w:t>
      </w:r>
    </w:p>
    <w:p w14:paraId="0BF50939">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和美乡村”太极拳联赛总决赛立足于“和美乡村”，将以体育促进共同富裕，助力乡村振兴为主题，以鲜明的“三农”特色，结合主办地地缘特点、文化特色，体现绿水青山就是金山银山的理念，推动武术赛事与农业、商业、文化、旅游、健康、养老、教育培训等产业融合，带动村民创收，为乡村经济赋能。</w:t>
      </w:r>
    </w:p>
    <w:p w14:paraId="258EDF91">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本次总决赛将由桐庐县人民政府和分水镇人民政府组织举办各种形式的综合性活动：</w:t>
      </w:r>
    </w:p>
    <w:p w14:paraId="03B89B59">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（一）分水镇“大唐武盛古邑市集”非遗集市活动，带您体验浓郁的古镇风情；</w:t>
      </w:r>
    </w:p>
    <w:p w14:paraId="36DC38E5">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（二）分水镇购物一条街活动，您可以在这里选购富</w:t>
      </w:r>
      <w:r>
        <w:rPr>
          <w:rFonts w:hint="eastAsia" w:ascii="仿宋" w:hAnsi="仿宋" w:eastAsia="仿宋" w:cs="仿宋"/>
          <w:color w:val="auto"/>
          <w:sz w:val="28"/>
          <w:szCs w:val="28"/>
        </w:rPr>
        <w:t>有</w:t>
      </w:r>
      <w:r>
        <w:rPr>
          <w:rFonts w:hint="eastAsia" w:ascii="仿宋" w:hAnsi="仿宋" w:eastAsia="仿宋" w:cs="仿宋"/>
          <w:color w:val="auto"/>
          <w:sz w:val="28"/>
          <w:szCs w:val="28"/>
        </w:rPr>
        <w:t>桐庐和分水乡土特色产品；</w:t>
      </w:r>
    </w:p>
    <w:p w14:paraId="26B3167B">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（三）分水镇美食一条街活动，您可以品尝到桐庐县内的各种非遗小吃；</w:t>
      </w:r>
    </w:p>
    <w:p w14:paraId="04BB5EF5">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（四）分水镇“跟着赛事游分水”活动，推出合村乡生仙里景区、百江镇天子地景区等特色赛事游览景点，亮出“文化养心、山水养眼、太极养生、民俗养性”的主题。</w:t>
      </w:r>
    </w:p>
    <w:p w14:paraId="44B53C51">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（五）分水镇武术辅导站太极拳展示活动。浙江省武术协会将授予分水镇武术辅导站“浙江省武术协会太极拳示范辅导站”荣誉称号，借“和美乡村”太极拳联赛总决赛的举办，为分水打造“太极拳名镇”造势。</w:t>
      </w:r>
    </w:p>
    <w:p w14:paraId="48F664D7">
      <w:pPr>
        <w:adjustRightInd w:val="0"/>
        <w:snapToGrid w:val="0"/>
        <w:spacing w:line="560" w:lineRule="exact"/>
        <w:ind w:firstLine="561" w:firstLineChars="200"/>
        <w:rPr>
          <w:rFonts w:ascii="方正大黑简体" w:hAnsi="方正大黑简体" w:eastAsia="方正大黑简体" w:cs="方正大黑简体"/>
          <w:b/>
          <w:bCs/>
          <w:color w:val="auto"/>
          <w:sz w:val="28"/>
          <w:szCs w:val="28"/>
        </w:rPr>
      </w:pPr>
      <w:r>
        <w:rPr>
          <w:rFonts w:hint="eastAsia" w:ascii="方正大黑简体" w:hAnsi="方正大黑简体" w:eastAsia="方正大黑简体" w:cs="方正大黑简体"/>
          <w:b/>
          <w:bCs/>
          <w:color w:val="auto"/>
          <w:sz w:val="28"/>
          <w:szCs w:val="28"/>
        </w:rPr>
        <w:t>七、总决赛结合举行2024年浙江省首届和美乡村太极拳总决赛</w:t>
      </w:r>
      <w:r>
        <w:rPr>
          <w:rFonts w:hint="eastAsia" w:ascii="方正大黑简体" w:hAnsi="方正大黑简体" w:eastAsia="方正大黑简体" w:cs="方正大黑简体"/>
          <w:b/>
          <w:bCs/>
          <w:color w:val="auto"/>
          <w:sz w:val="28"/>
          <w:szCs w:val="28"/>
        </w:rPr>
        <w:t>暨浙江省中国武</w:t>
      </w:r>
      <w:r>
        <w:rPr>
          <w:rFonts w:hint="eastAsia" w:ascii="方正大黑简体" w:hAnsi="方正大黑简体" w:eastAsia="方正大黑简体" w:cs="方正大黑简体"/>
          <w:b/>
          <w:bCs/>
          <w:color w:val="auto"/>
          <w:sz w:val="28"/>
          <w:szCs w:val="28"/>
        </w:rPr>
        <w:t>术中段位考试</w:t>
      </w:r>
    </w:p>
    <w:p w14:paraId="631329A9">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为鼓励我省农村基层武术爱好者参加中国武术段位考试，为基层武术爱好者提供参加考试的便利，根据国家体育总局武术中心、中国武术协会2024年印发的《中国武术段位制》、《中国武术段位制管理办法》和浙江省武术协会段位制办公室《2024年浙江省武术中段位实施方案的通知》等文件精神，浙江省武术协会决定在举办2024年浙江省首届和美乡村太极拳联赛总决赛的同时，举办</w:t>
      </w:r>
      <w:r>
        <w:rPr>
          <w:rFonts w:hint="eastAsia" w:ascii="仿宋" w:hAnsi="仿宋" w:eastAsia="仿宋" w:cs="仿宋"/>
          <w:color w:val="auto"/>
          <w:sz w:val="28"/>
          <w:szCs w:val="28"/>
        </w:rPr>
        <w:t>浙江省中国武术中段位考试。具体详见附件5：《2024年浙江省首届和美乡村太极拳总决赛暨浙江省中国武术中段位考试规程》。</w:t>
      </w:r>
    </w:p>
    <w:p w14:paraId="48C4BF4A">
      <w:pPr>
        <w:adjustRightInd w:val="0"/>
        <w:snapToGrid w:val="0"/>
        <w:spacing w:line="560" w:lineRule="exact"/>
        <w:ind w:firstLine="561" w:firstLineChars="200"/>
        <w:rPr>
          <w:rFonts w:ascii="方正大黑简体" w:hAnsi="方正大黑简体" w:eastAsia="方正大黑简体" w:cs="方正大黑简体"/>
          <w:b/>
          <w:bCs/>
          <w:color w:val="auto"/>
          <w:sz w:val="28"/>
          <w:szCs w:val="28"/>
        </w:rPr>
      </w:pPr>
      <w:r>
        <w:rPr>
          <w:rFonts w:hint="eastAsia" w:ascii="方正大黑简体" w:hAnsi="方正大黑简体" w:eastAsia="方正大黑简体" w:cs="方正大黑简体"/>
          <w:b/>
          <w:bCs/>
          <w:color w:val="auto"/>
          <w:sz w:val="28"/>
          <w:szCs w:val="28"/>
        </w:rPr>
        <w:t>八、录取与奖励办法：</w:t>
      </w:r>
    </w:p>
    <w:p w14:paraId="5B88437A">
      <w:pPr>
        <w:adjustRightInd w:val="0"/>
        <w:snapToGrid w:val="0"/>
        <w:spacing w:line="560" w:lineRule="exact"/>
        <w:ind w:firstLine="562" w:firstLineChars="200"/>
        <w:rPr>
          <w:rFonts w:ascii="仿宋" w:hAnsi="仿宋" w:eastAsia="仿宋" w:cs="仿宋"/>
          <w:color w:val="auto"/>
          <w:sz w:val="28"/>
          <w:szCs w:val="28"/>
        </w:rPr>
      </w:pPr>
      <w:r>
        <w:rPr>
          <w:rFonts w:hint="eastAsia" w:ascii="仿宋" w:hAnsi="仿宋" w:eastAsia="仿宋" w:cs="仿宋"/>
          <w:b/>
          <w:bCs/>
          <w:color w:val="auto"/>
          <w:sz w:val="28"/>
          <w:szCs w:val="28"/>
        </w:rPr>
        <w:t>（一）单练项目：</w:t>
      </w:r>
      <w:r>
        <w:rPr>
          <w:rFonts w:hint="eastAsia" w:ascii="仿宋" w:hAnsi="仿宋" w:eastAsia="仿宋" w:cs="仿宋"/>
          <w:color w:val="auto"/>
          <w:sz w:val="28"/>
          <w:szCs w:val="28"/>
        </w:rPr>
        <w:t>按项目号、年龄组别录取男、女一等奖 30%、二等奖 40%、三等奖 30%。颁发获奖证书和奖牌。</w:t>
      </w:r>
    </w:p>
    <w:p w14:paraId="49E54F38">
      <w:pPr>
        <w:adjustRightInd w:val="0"/>
        <w:snapToGrid w:val="0"/>
        <w:spacing w:line="560" w:lineRule="exact"/>
        <w:ind w:firstLine="562" w:firstLineChars="200"/>
        <w:rPr>
          <w:rFonts w:ascii="仿宋" w:hAnsi="仿宋" w:eastAsia="仿宋" w:cs="仿宋"/>
          <w:color w:val="auto"/>
          <w:sz w:val="28"/>
          <w:szCs w:val="28"/>
        </w:rPr>
      </w:pPr>
      <w:r>
        <w:rPr>
          <w:rFonts w:hint="eastAsia" w:ascii="仿宋" w:hAnsi="仿宋" w:eastAsia="仿宋" w:cs="仿宋"/>
          <w:b/>
          <w:bCs/>
          <w:color w:val="auto"/>
          <w:sz w:val="28"/>
          <w:szCs w:val="28"/>
        </w:rPr>
        <w:t>（二）双人</w:t>
      </w:r>
      <w:r>
        <w:rPr>
          <w:rFonts w:hint="eastAsia" w:ascii="仿宋" w:hAnsi="仿宋" w:eastAsia="仿宋" w:cs="仿宋"/>
          <w:b/>
          <w:bCs/>
          <w:color w:val="auto"/>
          <w:sz w:val="28"/>
          <w:szCs w:val="28"/>
        </w:rPr>
        <w:t>练</w:t>
      </w:r>
      <w:r>
        <w:rPr>
          <w:rFonts w:hint="eastAsia" w:ascii="仿宋" w:hAnsi="仿宋" w:eastAsia="仿宋" w:cs="仿宋"/>
          <w:b/>
          <w:bCs/>
          <w:color w:val="auto"/>
          <w:sz w:val="28"/>
          <w:szCs w:val="28"/>
        </w:rPr>
        <w:t>、对练项目：</w:t>
      </w:r>
      <w:r>
        <w:rPr>
          <w:rFonts w:hint="eastAsia" w:ascii="仿宋" w:hAnsi="仿宋" w:eastAsia="仿宋" w:cs="仿宋"/>
          <w:color w:val="auto"/>
          <w:sz w:val="28"/>
          <w:szCs w:val="28"/>
        </w:rPr>
        <w:t>按项目号、年龄组别录取一等奖 30%、二等奖 40%、三等奖 30%。颁发获奖证书和奖牌。</w:t>
      </w:r>
    </w:p>
    <w:p w14:paraId="3DE8E76D">
      <w:pPr>
        <w:adjustRightInd w:val="0"/>
        <w:snapToGrid w:val="0"/>
        <w:spacing w:line="560" w:lineRule="exact"/>
        <w:ind w:firstLine="562" w:firstLineChars="200"/>
        <w:rPr>
          <w:rFonts w:ascii="仿宋" w:hAnsi="仿宋" w:eastAsia="仿宋" w:cs="仿宋"/>
          <w:color w:val="auto"/>
          <w:sz w:val="28"/>
          <w:szCs w:val="28"/>
        </w:rPr>
      </w:pPr>
      <w:r>
        <w:rPr>
          <w:rFonts w:hint="eastAsia" w:ascii="仿宋" w:hAnsi="仿宋" w:eastAsia="仿宋" w:cs="仿宋"/>
          <w:b/>
          <w:bCs/>
          <w:color w:val="auto"/>
          <w:sz w:val="28"/>
          <w:szCs w:val="28"/>
        </w:rPr>
        <w:t>（三）集体项目：</w:t>
      </w:r>
      <w:r>
        <w:rPr>
          <w:rFonts w:hint="eastAsia" w:ascii="仿宋" w:hAnsi="仿宋" w:eastAsia="仿宋" w:cs="仿宋"/>
          <w:color w:val="auto"/>
          <w:sz w:val="28"/>
          <w:szCs w:val="28"/>
        </w:rPr>
        <w:t>按项目号录取一等奖 30%、二等奖 40%、三等奖 30%，颁发获奖证书和奖牌。</w:t>
      </w:r>
    </w:p>
    <w:p w14:paraId="586CFE5E">
      <w:pPr>
        <w:adjustRightInd w:val="0"/>
        <w:snapToGrid w:val="0"/>
        <w:spacing w:line="560" w:lineRule="exact"/>
        <w:ind w:firstLine="562" w:firstLineChars="200"/>
        <w:rPr>
          <w:rFonts w:ascii="仿宋" w:hAnsi="仿宋" w:eastAsia="仿宋" w:cs="仿宋"/>
          <w:color w:val="auto"/>
          <w:sz w:val="28"/>
          <w:szCs w:val="28"/>
        </w:rPr>
      </w:pPr>
      <w:r>
        <w:rPr>
          <w:rFonts w:hint="eastAsia" w:ascii="仿宋" w:hAnsi="仿宋" w:eastAsia="仿宋" w:cs="仿宋"/>
          <w:b/>
          <w:bCs/>
          <w:color w:val="auto"/>
          <w:sz w:val="28"/>
          <w:szCs w:val="28"/>
        </w:rPr>
        <w:t>（四）个人全能：</w:t>
      </w:r>
      <w:r>
        <w:rPr>
          <w:rFonts w:hint="eastAsia" w:ascii="仿宋" w:hAnsi="仿宋" w:eastAsia="仿宋" w:cs="仿宋"/>
          <w:color w:val="auto"/>
          <w:sz w:val="28"/>
          <w:szCs w:val="28"/>
        </w:rPr>
        <w:t>村居（社区）组、乡镇街道及以上组、学校组分别</w:t>
      </w:r>
      <w:r>
        <w:rPr>
          <w:rFonts w:hint="eastAsia" w:ascii="仿宋" w:hAnsi="仿宋" w:eastAsia="仿宋" w:cs="仿宋"/>
          <w:color w:val="auto"/>
          <w:sz w:val="28"/>
          <w:szCs w:val="28"/>
        </w:rPr>
        <w:t>按性别、年龄组别，以</w:t>
      </w:r>
      <w:r>
        <w:rPr>
          <w:rFonts w:hint="eastAsia" w:ascii="仿宋" w:hAnsi="仿宋" w:eastAsia="仿宋" w:cs="仿宋"/>
          <w:color w:val="auto"/>
          <w:sz w:val="28"/>
          <w:szCs w:val="28"/>
        </w:rPr>
        <w:t>拳术与器械 3 套单练（含参加中段位考试套路）成绩之和计算，录取前 6 名。第一至第三名，分别颁发奖杯、奖牌、获奖证书和奖金，其中第一名600元，第二名300元，第三名100元。第四至第六名颁发奖牌和证书。</w:t>
      </w:r>
    </w:p>
    <w:p w14:paraId="12821BE1">
      <w:pPr>
        <w:adjustRightInd w:val="0"/>
        <w:snapToGrid w:val="0"/>
        <w:spacing w:line="560" w:lineRule="exact"/>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（五）总团体大奖：</w:t>
      </w:r>
    </w:p>
    <w:p w14:paraId="66C195D8">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本届总决赛团体大奖侧重武术辅导站的整体实力，个人项目和集体项目并重。</w:t>
      </w:r>
    </w:p>
    <w:p w14:paraId="7E7123CB">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1.凡代表队中个人全能人数达10人（含）以上，同时参加集体项目（一项），则可计算总团体成绩。</w:t>
      </w:r>
    </w:p>
    <w:p w14:paraId="424E3CCA">
      <w:pPr>
        <w:adjustRightInd w:val="0"/>
        <w:snapToGrid w:val="0"/>
        <w:spacing w:line="560" w:lineRule="exact"/>
        <w:ind w:firstLine="560" w:firstLineChars="200"/>
        <w:rPr>
          <w:rFonts w:ascii="仿宋" w:hAnsi="仿宋" w:eastAsia="仿宋" w:cs="仿宋"/>
          <w:color w:val="auto"/>
          <w:sz w:val="28"/>
          <w:szCs w:val="28"/>
        </w:rPr>
      </w:pPr>
      <w:r>
        <w:rPr>
          <w:rFonts w:ascii="仿宋" w:hAnsi="仿宋" w:eastAsia="仿宋" w:cs="仿宋"/>
          <w:color w:val="auto"/>
          <w:sz w:val="28"/>
          <w:szCs w:val="28"/>
        </w:rPr>
        <w:t>2</w:t>
      </w:r>
      <w:r>
        <w:rPr>
          <w:rFonts w:hint="eastAsia" w:ascii="仿宋" w:hAnsi="仿宋" w:eastAsia="仿宋" w:cs="仿宋"/>
          <w:color w:val="auto"/>
          <w:sz w:val="28"/>
          <w:szCs w:val="28"/>
        </w:rPr>
        <w:t>.总团体第一至第三名颁发奖杯、奖牌、获奖证书和奖金，其中第一名1500元，第二名800元，第三名500元。</w:t>
      </w:r>
    </w:p>
    <w:p w14:paraId="2E1B5BAB">
      <w:pPr>
        <w:adjustRightInd w:val="0"/>
        <w:snapToGrid w:val="0"/>
        <w:spacing w:line="560" w:lineRule="exact"/>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（六）“最美武术辅导站”大奖</w:t>
      </w:r>
    </w:p>
    <w:p w14:paraId="2B0E1391">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根据武术辅导站参赛人数、技术水平、活动组织、武德风貌等方面的比武，总决赛将评出10个“最美武术辅导站”，颁发牌匾，奖金800-2000元，具体另定。</w:t>
      </w:r>
    </w:p>
    <w:p w14:paraId="2E1A3E53">
      <w:pPr>
        <w:adjustRightInd w:val="0"/>
        <w:snapToGrid w:val="0"/>
        <w:spacing w:line="560" w:lineRule="exact"/>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（七）组织贡献奖</w:t>
      </w:r>
    </w:p>
    <w:p w14:paraId="56FC0E9A">
      <w:pPr>
        <w:adjustRightInd w:val="0"/>
        <w:snapToGrid w:val="0"/>
        <w:spacing w:line="560" w:lineRule="exact"/>
        <w:ind w:firstLine="560" w:firstLineChars="200"/>
        <w:rPr>
          <w:rFonts w:ascii="仿宋" w:hAnsi="仿宋" w:eastAsia="仿宋" w:cs="仿宋"/>
          <w:color w:val="auto"/>
          <w:sz w:val="28"/>
          <w:szCs w:val="28"/>
          <w:highlight w:val="cyan"/>
        </w:rPr>
      </w:pPr>
      <w:r>
        <w:rPr>
          <w:rFonts w:hint="eastAsia" w:ascii="仿宋" w:hAnsi="仿宋" w:eastAsia="仿宋" w:cs="仿宋"/>
          <w:color w:val="auto"/>
          <w:sz w:val="28"/>
          <w:szCs w:val="28"/>
        </w:rPr>
        <w:t>授予今年以来积极开展武术辅导站建设，并且对宣传、组织本次参赛有特殊贡献的设区市、县（市区）武术协会。其中设区市3名，县（市区）7名。授予牌匾和奖金，奖励办法另定。</w:t>
      </w:r>
    </w:p>
    <w:p w14:paraId="235D83F3">
      <w:pPr>
        <w:adjustRightInd w:val="0"/>
        <w:snapToGrid w:val="0"/>
        <w:spacing w:line="560" w:lineRule="exact"/>
        <w:ind w:firstLine="561" w:firstLineChars="200"/>
        <w:rPr>
          <w:rFonts w:ascii="方正大黑简体" w:hAnsi="方正大黑简体" w:eastAsia="方正大黑简体" w:cs="方正大黑简体"/>
          <w:b/>
          <w:bCs/>
          <w:color w:val="auto"/>
          <w:sz w:val="28"/>
          <w:szCs w:val="28"/>
        </w:rPr>
      </w:pPr>
      <w:r>
        <w:rPr>
          <w:rFonts w:hint="eastAsia" w:ascii="方正大黑简体" w:hAnsi="方正大黑简体" w:eastAsia="方正大黑简体" w:cs="方正大黑简体"/>
          <w:b/>
          <w:bCs/>
          <w:color w:val="auto"/>
          <w:sz w:val="28"/>
          <w:szCs w:val="28"/>
        </w:rPr>
        <w:t>九、参加办法</w:t>
      </w:r>
    </w:p>
    <w:p w14:paraId="48CF0880">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（一）每个辅导站参赛运动员人数原则上须6人</w:t>
      </w:r>
      <w:r>
        <w:rPr>
          <w:rFonts w:hint="eastAsia" w:ascii="仿宋" w:hAnsi="仿宋" w:eastAsia="仿宋" w:cs="仿宋"/>
          <w:color w:val="auto"/>
          <w:sz w:val="28"/>
          <w:szCs w:val="28"/>
        </w:rPr>
        <w:t>以上（含领队、教练），每队可报领队、教练各一名。因场地有限，本次比赛人数限1500人以内。</w:t>
      </w:r>
    </w:p>
    <w:p w14:paraId="5908DEC1">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（二）每位选手参赛项目数量不限。</w:t>
      </w:r>
    </w:p>
    <w:p w14:paraId="6D409ED9">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（三）双人练、对练项目不允许报陪练人员。</w:t>
      </w:r>
    </w:p>
    <w:p w14:paraId="19957D4E">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（四）集体项目须 6 人以上。</w:t>
      </w:r>
    </w:p>
    <w:p w14:paraId="6898EB45">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（五）运动员参赛年龄最高不超过75周岁。运动员年龄、健康状况均由各代表队自行审核，以报名单上盖章或负责人签字后，作为确认依据。如因年龄不实，一经查实则取消该运动员比赛资格。</w:t>
      </w:r>
    </w:p>
    <w:p w14:paraId="1E840BA8">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（六）70周岁（含）至75周岁的运动员须持医院（卫生院、医疗站）出具的健康证明方能参加比赛，由领队负责审核。</w:t>
      </w:r>
    </w:p>
    <w:p w14:paraId="5CED76F5">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（七）请认真阅读了解并签订《2024年浙江省首届和美乡村太极拳联赛总决赛责任声明书》（附件 6）。《责任声明书》每人1 份，在报名时上交，凡未签署的选手不能参赛（18 岁以下人员还应由监护人签名）。比赛期间因健康情况而引发的伤病等，均由各报名参赛单位和个人自行负责，经费自理。</w:t>
      </w:r>
    </w:p>
    <w:p w14:paraId="4AF28811">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（八）参赛运动员“体育赛事保险”由组委会统一服务办理，如需自己办理的请提前单独提出。</w:t>
      </w:r>
    </w:p>
    <w:p w14:paraId="7233B792">
      <w:pPr>
        <w:adjustRightInd w:val="0"/>
        <w:snapToGrid w:val="0"/>
        <w:spacing w:line="560" w:lineRule="exact"/>
        <w:ind w:firstLine="561" w:firstLineChars="200"/>
        <w:rPr>
          <w:rFonts w:ascii="方正大黑简体" w:hAnsi="方正大黑简体" w:eastAsia="方正大黑简体" w:cs="方正大黑简体"/>
          <w:b/>
          <w:bCs/>
          <w:color w:val="auto"/>
          <w:sz w:val="28"/>
          <w:szCs w:val="28"/>
        </w:rPr>
      </w:pPr>
      <w:r>
        <w:rPr>
          <w:rFonts w:hint="eastAsia" w:ascii="方正大黑简体" w:hAnsi="方正大黑简体" w:eastAsia="方正大黑简体" w:cs="方正大黑简体"/>
          <w:b/>
          <w:bCs/>
          <w:color w:val="auto"/>
          <w:sz w:val="28"/>
          <w:szCs w:val="28"/>
        </w:rPr>
        <w:t>十、竞赛办法</w:t>
      </w:r>
    </w:p>
    <w:p w14:paraId="15307BA9">
      <w:pPr>
        <w:adjustRightInd w:val="0"/>
        <w:snapToGrid w:val="0"/>
        <w:spacing w:line="560" w:lineRule="exact"/>
        <w:ind w:firstLine="560" w:firstLineChars="200"/>
        <w:rPr>
          <w:rFonts w:ascii="仿宋" w:hAnsi="仿宋" w:eastAsia="仿宋" w:cs="仿宋"/>
          <w:strike/>
          <w:color w:val="auto"/>
          <w:sz w:val="28"/>
          <w:szCs w:val="28"/>
        </w:rPr>
      </w:pPr>
      <w:r>
        <w:rPr>
          <w:rFonts w:hint="eastAsia" w:ascii="仿宋" w:hAnsi="仿宋" w:eastAsia="仿宋" w:cs="仿宋"/>
          <w:color w:val="auto"/>
          <w:sz w:val="28"/>
          <w:szCs w:val="28"/>
        </w:rPr>
        <w:t>（一）比赛按中国武术协会制定的 2024年版《传统武术套路竞赛规则》及本规程有关规定执行。</w:t>
      </w:r>
    </w:p>
    <w:p w14:paraId="2E899092">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（二）年龄分组</w:t>
      </w:r>
    </w:p>
    <w:p w14:paraId="3F378D97">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1.儿童A 组：11周岁及以下(2013年1月1日之后出生者)；</w:t>
      </w:r>
    </w:p>
    <w:p w14:paraId="3B11FE18">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2.少年B 组：12周岁至17周岁(2007年1月1日-2012年12月 31日)；</w:t>
      </w:r>
    </w:p>
    <w:p w14:paraId="2187AAC8">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3.青年C组：18周岁至39周岁(1985年1月1日-2006年12月31日)；</w:t>
      </w:r>
    </w:p>
    <w:p w14:paraId="1D949381">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4.中年D组：40周岁至 59周岁(1965年1月1日-1984年12月31日)； </w:t>
      </w:r>
    </w:p>
    <w:p w14:paraId="6F210216">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5.老年E组：60周岁至75周岁(1949年1月1日至1964年12月31日)。</w:t>
      </w:r>
    </w:p>
    <w:p w14:paraId="00595987">
      <w:pPr>
        <w:adjustRightInd w:val="0"/>
        <w:snapToGrid w:val="0"/>
        <w:spacing w:line="560" w:lineRule="exact"/>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(三) 各项比赛的时间规定：</w:t>
      </w:r>
    </w:p>
    <w:p w14:paraId="4F999203">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1.太极拳单练、双人项目：完成套路时间不超过 4 分钟，3 分钟时裁判长鸣哨提示。</w:t>
      </w:r>
    </w:p>
    <w:p w14:paraId="1E34CB7E">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2.太极器械项目：完成套路时间不超过 3 分钟，2 分钟时裁判长鸣哨提示。</w:t>
      </w:r>
    </w:p>
    <w:p w14:paraId="3D34B9FF">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3.太极对练项目：完成套路时间不超过 3 分钟，2 分钟时裁判长鸣哨提示。</w:t>
      </w:r>
    </w:p>
    <w:p w14:paraId="46068794">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学校组（含武馆武校）选报的其它拳种传统、自选单练项目、对练项目完成套路时间不得超过2分钟。全国中小学生系列《武术健身操》完成时间与广播操音乐时间同步（使用规定的武术健身操音乐，自备音乐）。</w:t>
      </w:r>
    </w:p>
    <w:p w14:paraId="63B50288">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5.集体项目演练时间不超过 </w:t>
      </w:r>
      <w:r>
        <w:rPr>
          <w:rFonts w:hint="eastAsia" w:ascii="仿宋" w:hAnsi="仿宋" w:eastAsia="仿宋" w:cs="仿宋"/>
          <w:strike/>
          <w:color w:val="auto"/>
          <w:sz w:val="28"/>
          <w:szCs w:val="28"/>
        </w:rPr>
        <w:t>4</w:t>
      </w:r>
      <w:r>
        <w:rPr>
          <w:rFonts w:hint="eastAsia" w:ascii="仿宋" w:hAnsi="仿宋" w:eastAsia="仿宋" w:cs="仿宋"/>
          <w:color w:val="auto"/>
          <w:sz w:val="28"/>
          <w:szCs w:val="28"/>
        </w:rPr>
        <w:t>分钟。</w:t>
      </w:r>
    </w:p>
    <w:p w14:paraId="3450C302">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6.凡 42 式、陈式、杨式、吴式、孙式、武式太极拳竞赛套路、24 式简化太极拳和 32 式、42 式太极拳剑竞赛套路必须从起势开始，练至限定时间前 1 分钟时听裁判长哨音，即可准备收势。未练完的部分可删除。</w:t>
      </w:r>
    </w:p>
    <w:p w14:paraId="25557D81">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7.传统太极拳在不影响本套路技术风格、特点的原则下，可自行作调整与组合。</w:t>
      </w:r>
    </w:p>
    <w:p w14:paraId="57B4A29C">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8.因套路动作删减和调整后，允许运动员可在任何方向、任何位置收势，不扣分。</w:t>
      </w:r>
    </w:p>
    <w:p w14:paraId="13DE9597">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9.《中国武术段位制系列教程》单练须练整套，不受时间限制。</w:t>
      </w:r>
    </w:p>
    <w:p w14:paraId="0F210958">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10.完成套路时间超出规定，按2024年版《传统武术竞赛规则》规定扣分。所有项目均无时间下限的要求。</w:t>
      </w:r>
    </w:p>
    <w:p w14:paraId="4F58FD50">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(四)配乐：</w:t>
      </w:r>
    </w:p>
    <w:p w14:paraId="32EB862A">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1.单练、对练（对抗）项目一律不准配乐。集体项目必须伴奏无伴唱的纯音乐，如不符合要求，扣 0.1 分。集体项目上场人数不得少于6人。每少一人，扣 0.5 分。</w:t>
      </w:r>
    </w:p>
    <w:p w14:paraId="0B0A36B1">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2.比赛音乐一律使用U盘录制（单独一首曲目），比赛时各队必须派 1 人到本场地播放音乐处负责指挥播放（可自带小型音乐播放器）。</w:t>
      </w:r>
    </w:p>
    <w:p w14:paraId="14C15B8C">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(五)服装</w:t>
      </w:r>
    </w:p>
    <w:p w14:paraId="7DF8E615">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参赛运动员服装、器械自备。须穿符合运动特色、民族特色、时代特色和项目特色的武术服装、武术鞋比赛；不允许赤背、或穿戴宗教、戏曲化色彩的服饰上场，如比赛服装不符合要求，扣 0.1 分。</w:t>
      </w:r>
    </w:p>
    <w:p w14:paraId="1A7A83B5">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（六）双人、对练年龄组以参赛选手平均年龄确认组别。</w:t>
      </w:r>
    </w:p>
    <w:p w14:paraId="0050BE65">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（七）个人全能计分办法与同分处理</w:t>
      </w:r>
    </w:p>
    <w:p w14:paraId="67293214">
      <w:pPr>
        <w:adjustRightInd w:val="0"/>
        <w:snapToGrid w:val="0"/>
        <w:spacing w:line="560" w:lineRule="exact"/>
        <w:ind w:firstLine="562" w:firstLineChars="200"/>
        <w:rPr>
          <w:rFonts w:ascii="仿宋" w:hAnsi="仿宋" w:eastAsia="仿宋" w:cs="仿宋"/>
          <w:color w:val="auto"/>
          <w:sz w:val="28"/>
          <w:szCs w:val="28"/>
        </w:rPr>
      </w:pPr>
      <w:r>
        <w:rPr>
          <w:rFonts w:hint="eastAsia" w:ascii="仿宋" w:hAnsi="仿宋" w:eastAsia="仿宋" w:cs="仿宋"/>
          <w:b/>
          <w:bCs/>
          <w:color w:val="auto"/>
          <w:sz w:val="28"/>
          <w:szCs w:val="28"/>
        </w:rPr>
        <w:t>1.全能成绩计算方法</w:t>
      </w:r>
      <w:r>
        <w:rPr>
          <w:rFonts w:hint="eastAsia" w:ascii="仿宋" w:hAnsi="仿宋" w:eastAsia="仿宋" w:cs="仿宋"/>
          <w:color w:val="auto"/>
          <w:sz w:val="28"/>
          <w:szCs w:val="28"/>
        </w:rPr>
        <w:t>：个人以 3 个单练项目（必须包含拳术和器械）成绩之和计算，得分最高者为冠军，次为亚军，以此类推。</w:t>
      </w:r>
    </w:p>
    <w:p w14:paraId="39F58B3F">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2.全能成绩如遇同分时，则以计算全能成绩的 3 个项目中获第一名多者列前; 再同时，以获第二名较多者列前，余类推。如仍相等，则以参赛项目中最高得分高者列前；再同时，以获次高得分高者列前；余类推。如仍相等，则以拳术单练项目得分高者列前。如仍相等，则以参赛全部项目中(包括 3 项以外的单项参赛项目)获第 1 名多者列前; 再同时，以获第 2 名较多者列前，余类推。如仍相等，则以参赛项目数（含全部参赛项目）多者列前。如再相等，则以选手本人抽签决定名次。</w:t>
      </w:r>
    </w:p>
    <w:p w14:paraId="7524508B">
      <w:pPr>
        <w:adjustRightInd w:val="0"/>
        <w:snapToGrid w:val="0"/>
        <w:spacing w:line="560" w:lineRule="exact"/>
        <w:ind w:firstLine="562" w:firstLineChars="200"/>
        <w:rPr>
          <w:rFonts w:ascii="仿宋" w:hAnsi="仿宋" w:eastAsia="仿宋" w:cs="仿宋"/>
          <w:color w:val="auto"/>
          <w:sz w:val="28"/>
          <w:szCs w:val="28"/>
        </w:rPr>
      </w:pPr>
      <w:r>
        <w:rPr>
          <w:rFonts w:hint="eastAsia" w:ascii="仿宋" w:hAnsi="仿宋" w:eastAsia="仿宋" w:cs="仿宋"/>
          <w:b/>
          <w:bCs/>
          <w:color w:val="auto"/>
          <w:sz w:val="28"/>
          <w:szCs w:val="28"/>
        </w:rPr>
        <w:t>（八）总团体大奖计算方法：</w:t>
      </w:r>
      <w:r>
        <w:rPr>
          <w:rFonts w:hint="eastAsia" w:ascii="仿宋" w:hAnsi="仿宋" w:eastAsia="仿宋" w:cs="仿宋"/>
          <w:color w:val="auto"/>
          <w:sz w:val="28"/>
          <w:szCs w:val="28"/>
        </w:rPr>
        <w:t>以代表队中10位最高个人全能成绩之和加上代表队一项集体项目得分计算（如有2个或2个以上集体项目，选择得分高者计算）。得分最高者，为总团体冠军，次者为总团体亚军，余类推。总团体成绩如遇同分时，则以集体项目得分高者为冠军，如仍相同，取计算团体分的10人中单项获第一名项目数量多者为冠军；再同时，以获第二名多者为准，余类推。再同时，则以各代表队派代表抽签决定。</w:t>
      </w:r>
    </w:p>
    <w:p w14:paraId="627C20D4">
      <w:pPr>
        <w:adjustRightInd w:val="0"/>
        <w:snapToGrid w:val="0"/>
        <w:spacing w:line="560" w:lineRule="exact"/>
        <w:ind w:firstLine="561" w:firstLineChars="200"/>
        <w:rPr>
          <w:rFonts w:ascii="方正大黑简体" w:hAnsi="方正大黑简体" w:eastAsia="方正大黑简体" w:cs="方正大黑简体"/>
          <w:b/>
          <w:bCs/>
          <w:color w:val="auto"/>
          <w:sz w:val="28"/>
          <w:szCs w:val="28"/>
        </w:rPr>
      </w:pPr>
      <w:r>
        <w:rPr>
          <w:rFonts w:hint="eastAsia" w:ascii="方正大黑简体" w:hAnsi="方正大黑简体" w:eastAsia="方正大黑简体" w:cs="方正大黑简体"/>
          <w:b/>
          <w:bCs/>
          <w:color w:val="auto"/>
          <w:sz w:val="28"/>
          <w:szCs w:val="28"/>
        </w:rPr>
        <w:t>十一、参赛经费：</w:t>
      </w:r>
    </w:p>
    <w:p w14:paraId="321A1896">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（一）赛事服务费：所有代表队报名人员（含领队、教练、随队人员）均须缴纳赛事服务费，每位人民币 200 元。凭 2020年11月1日及以后年份注册有效的中国武术协会个人会员和浙江省武术协会会员可享受优惠，每位人民币 100 元。凡报名运动员人数达 10 人（含）以上的团队，可免 1 人的报名费；运动员达 20 人（含）以上，可免 2 人报名费；以此类推。低于6人的团队，报名费另加100元/人服务费。</w:t>
      </w:r>
    </w:p>
    <w:p w14:paraId="58415536">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（二）项目费：</w:t>
      </w:r>
    </w:p>
    <w:p w14:paraId="764B8EF9">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1.单练、双人练、对练项目：每位每项人民币 100元。</w:t>
      </w:r>
    </w:p>
    <w:p w14:paraId="5686DE78">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2.集体项目：每位每项人民币 50 元。</w:t>
      </w:r>
    </w:p>
    <w:p w14:paraId="3E3DCDC8">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（三）保险服务费：每位20元（含领队、教练）</w:t>
      </w:r>
    </w:p>
    <w:p w14:paraId="1A22800C">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rPr>
        <w:t>仅参加中段位考试者，向浙江省武术协会交纳相应的段位服务费，不交纳赛事服务费和考段项目</w:t>
      </w:r>
      <w:r>
        <w:rPr>
          <w:rFonts w:hint="eastAsia" w:ascii="仿宋" w:hAnsi="仿宋" w:eastAsia="仿宋" w:cs="仿宋"/>
          <w:color w:val="auto"/>
          <w:sz w:val="28"/>
          <w:szCs w:val="28"/>
        </w:rPr>
        <w:t>费，请自行办理</w:t>
      </w:r>
      <w:r>
        <w:rPr>
          <w:rFonts w:hint="eastAsia" w:ascii="仿宋" w:hAnsi="仿宋" w:eastAsia="仿宋" w:cs="仿宋"/>
          <w:color w:val="auto"/>
          <w:sz w:val="30"/>
          <w:szCs w:val="30"/>
        </w:rPr>
        <w:t>“人身意外伤害保险”</w:t>
      </w:r>
      <w:r>
        <w:rPr>
          <w:rFonts w:hint="eastAsia" w:ascii="仿宋" w:hAnsi="仿宋" w:eastAsia="仿宋" w:cs="仿宋"/>
          <w:color w:val="auto"/>
          <w:sz w:val="28"/>
          <w:szCs w:val="28"/>
        </w:rPr>
        <w:t>。</w:t>
      </w:r>
    </w:p>
    <w:p w14:paraId="43689CBB">
      <w:pPr>
        <w:adjustRightInd w:val="0"/>
        <w:snapToGrid w:val="0"/>
        <w:spacing w:line="560" w:lineRule="exact"/>
        <w:ind w:firstLine="561" w:firstLineChars="200"/>
        <w:rPr>
          <w:rFonts w:ascii="方正大黑简体" w:hAnsi="方正大黑简体" w:eastAsia="方正大黑简体" w:cs="方正大黑简体"/>
          <w:b/>
          <w:bCs/>
          <w:color w:val="auto"/>
          <w:sz w:val="28"/>
          <w:szCs w:val="28"/>
        </w:rPr>
      </w:pPr>
      <w:r>
        <w:rPr>
          <w:rFonts w:hint="eastAsia" w:ascii="方正大黑简体" w:hAnsi="方正大黑简体" w:eastAsia="方正大黑简体" w:cs="方正大黑简体"/>
          <w:b/>
          <w:bCs/>
          <w:color w:val="auto"/>
          <w:sz w:val="28"/>
          <w:szCs w:val="28"/>
        </w:rPr>
        <w:t>十二、报名与报到：</w:t>
      </w:r>
    </w:p>
    <w:p w14:paraId="75FE5F49">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（一）报名</w:t>
      </w:r>
    </w:p>
    <w:p w14:paraId="58C1FDF0">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1.本次比赛报名一律在浙江省武术协会网站（http://www.zjws.net）上“2024年“古邑分水杯”首届浙江省和美乡村太极拳联赛总决赛</w:t>
      </w:r>
      <w:r>
        <w:rPr>
          <w:rFonts w:hint="eastAsia" w:ascii="仿宋" w:hAnsi="仿宋" w:eastAsia="仿宋" w:cs="仿宋"/>
          <w:color w:val="auto"/>
          <w:sz w:val="28"/>
          <w:szCs w:val="28"/>
        </w:rPr>
        <w:t>暨浙江省中国武术</w:t>
      </w:r>
      <w:r>
        <w:rPr>
          <w:rFonts w:hint="eastAsia" w:ascii="仿宋" w:hAnsi="仿宋" w:eastAsia="仿宋" w:cs="仿宋"/>
          <w:color w:val="auto"/>
          <w:sz w:val="28"/>
          <w:szCs w:val="28"/>
        </w:rPr>
        <w:t>中段位考试”通道报名，其中总决赛和段位考试分开报名。不接受纸质、电话或传真报名。</w:t>
      </w:r>
    </w:p>
    <w:p w14:paraId="51116352">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2.网上报名截止日为 2024年10月31日 24 点。</w:t>
      </w:r>
    </w:p>
    <w:p w14:paraId="29A9DC13">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3.网上报名后，如报名项目需要修改，在截止日前各参赛队均可自行修改报名内容。11月1日 0 时至 11月3日下午17 时止，如因特殊情况必须改动内容，务必递交书面申请，并缴纳相应的手续费。每更改一项内容（包括项目号、套路名称、姓名、性别、年龄组别等）手续费为人民币 100 元。联系人：杨林燕 电话：18057130006。2024年11月3日17 时后不再受理更改申请。</w:t>
      </w:r>
    </w:p>
    <w:p w14:paraId="469F2A69">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4.查看“浙江省武术比赛管理系统”。网上报名后，随时可进入报名系统，点击“报名查询”查看各队报名信息；赛前一周左右可查看比赛顺序；赛后可查看比赛成绩。</w:t>
      </w:r>
    </w:p>
    <w:p w14:paraId="39E0483D">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5.退赛的处理：2024年11月6 日24 时以前，因故不能参加比赛者，凭书面申请和县级以上医院证明，组委会可将项目费、委托意外伤害保险费全款退还（参赛服务费除外）。但此日期后因故不能参赛者，所有费用概不退还。 </w:t>
      </w:r>
    </w:p>
    <w:p w14:paraId="37194DB1">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6．赛前一周左右官方网站将公布竞赛日程及竞赛项目比赛顺序，请各参赛代表队关注网上信息，网址：http://www.zjws.net，或关注“直接赛事通公众号”。</w:t>
      </w:r>
    </w:p>
    <w:p w14:paraId="38AEC7DC">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（二）报到</w:t>
      </w:r>
    </w:p>
    <w:p w14:paraId="7CD6EDF4">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1.请各参赛代表队于 11月22日 20:00 前到桐庐县分水镇        报到</w:t>
      </w:r>
    </w:p>
    <w:p w14:paraId="6B6EB80C">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2.各参赛队除自备车外，可乘坐高铁到千岛湖站，千岛湖站到分水镇大约30公里 ，约35分钟车程（高铁桐庐站到分水镇路途稍远，大约需要45分钟）。</w:t>
      </w:r>
    </w:p>
    <w:p w14:paraId="361F2F6A">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3.11月22日10点至19点之间，大赛组委会将安排车辆到高铁千岛湖站接驳，各参赛队凭个人身份证和事先预约的时间免费乘车。</w:t>
      </w:r>
    </w:p>
    <w:p w14:paraId="6790BDA5">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4.参赛人员报到时由领队或教练凭个人身份证领取赛事秩序册、运动员参赛证等比赛资料。</w:t>
      </w:r>
    </w:p>
    <w:p w14:paraId="02EE2D2F">
      <w:pPr>
        <w:adjustRightInd w:val="0"/>
        <w:snapToGrid w:val="0"/>
        <w:spacing w:line="560" w:lineRule="exact"/>
        <w:ind w:firstLine="561" w:firstLineChars="200"/>
        <w:rPr>
          <w:rFonts w:ascii="方正大黑简体" w:hAnsi="方正大黑简体" w:eastAsia="方正大黑简体" w:cs="方正大黑简体"/>
          <w:b/>
          <w:bCs/>
          <w:color w:val="auto"/>
          <w:sz w:val="28"/>
          <w:szCs w:val="28"/>
        </w:rPr>
      </w:pPr>
      <w:r>
        <w:rPr>
          <w:rFonts w:hint="eastAsia" w:ascii="方正大黑简体" w:hAnsi="方正大黑简体" w:eastAsia="方正大黑简体" w:cs="方正大黑简体"/>
          <w:b/>
          <w:bCs/>
          <w:color w:val="auto"/>
          <w:sz w:val="28"/>
          <w:szCs w:val="28"/>
        </w:rPr>
        <w:t>十三、仲裁委员会和裁判员：</w:t>
      </w:r>
    </w:p>
    <w:p w14:paraId="07F6DDEF">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（一）仲裁委员会人员组成和职责范围按《仲裁委员会条例》执行。</w:t>
      </w:r>
    </w:p>
    <w:p w14:paraId="6B360931">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（二）裁判员由浙江省武术协会选派，另行通知。</w:t>
      </w:r>
    </w:p>
    <w:p w14:paraId="6F1D090D">
      <w:pPr>
        <w:adjustRightInd w:val="0"/>
        <w:snapToGrid w:val="0"/>
        <w:spacing w:line="560" w:lineRule="exact"/>
        <w:ind w:firstLine="561" w:firstLineChars="200"/>
        <w:rPr>
          <w:rFonts w:ascii="方正大黑简体" w:hAnsi="方正大黑简体" w:eastAsia="方正大黑简体" w:cs="方正大黑简体"/>
          <w:b/>
          <w:bCs/>
          <w:color w:val="auto"/>
          <w:sz w:val="28"/>
          <w:szCs w:val="28"/>
        </w:rPr>
      </w:pPr>
      <w:r>
        <w:rPr>
          <w:rFonts w:hint="eastAsia" w:ascii="方正大黑简体" w:hAnsi="方正大黑简体" w:eastAsia="方正大黑简体" w:cs="方正大黑简体"/>
          <w:b/>
          <w:bCs/>
          <w:color w:val="auto"/>
          <w:sz w:val="28"/>
          <w:szCs w:val="28"/>
        </w:rPr>
        <w:t>十四、联系方式：</w:t>
      </w:r>
    </w:p>
    <w:p w14:paraId="57F05618">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地址：杭州市体育场路212号省体育局大楼6003室</w:t>
      </w:r>
    </w:p>
    <w:p w14:paraId="1C0B2DA8">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电子邮箱：zjyszw2024@163.com</w:t>
      </w:r>
    </w:p>
    <w:p w14:paraId="4EF496C3">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赛事咨询联系人：楼允民13336056617  莫文龙13606710538</w:t>
      </w:r>
    </w:p>
    <w:p w14:paraId="350662EF">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                张晓燕15906786288</w:t>
      </w:r>
    </w:p>
    <w:p w14:paraId="0DE88F3A">
      <w:pPr>
        <w:adjustRightInd w:val="0"/>
        <w:snapToGrid w:val="0"/>
        <w:spacing w:line="560" w:lineRule="exact"/>
        <w:ind w:firstLine="561" w:firstLineChars="200"/>
        <w:rPr>
          <w:rFonts w:ascii="方正大黑简体" w:hAnsi="方正大黑简体" w:eastAsia="方正大黑简体" w:cs="方正大黑简体"/>
          <w:b/>
          <w:bCs/>
          <w:color w:val="auto"/>
          <w:sz w:val="28"/>
          <w:szCs w:val="28"/>
        </w:rPr>
      </w:pPr>
      <w:r>
        <w:rPr>
          <w:rFonts w:hint="eastAsia" w:ascii="方正大黑简体" w:hAnsi="方正大黑简体" w:eastAsia="方正大黑简体" w:cs="方正大黑简体"/>
          <w:b/>
          <w:bCs/>
          <w:color w:val="auto"/>
          <w:sz w:val="28"/>
          <w:szCs w:val="28"/>
        </w:rPr>
        <w:t>十五、报名费、项目费汇款方式</w:t>
      </w:r>
    </w:p>
    <w:p w14:paraId="32267E90">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（一）从银行汇款请按下面地址填写： </w:t>
      </w:r>
    </w:p>
    <w:p w14:paraId="7262F0C9">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单位：杭州德厚紫月文化传播有限公司</w:t>
      </w:r>
    </w:p>
    <w:p w14:paraId="3DE2DA89">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开户行：工行杭州银马支行</w:t>
      </w:r>
    </w:p>
    <w:p w14:paraId="2DD9EDDD">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账号：1202 0045 0910 0051 312</w:t>
      </w:r>
    </w:p>
    <w:p w14:paraId="25B1CE11">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请务必在银行汇款备注栏注明“XXX(代表队)和美乡村总决赛参赛费”，以便财务核对确认。</w:t>
      </w:r>
    </w:p>
    <w:p w14:paraId="06918B39">
      <w:pPr>
        <w:adjustRightInd w:val="0"/>
        <w:snapToGrid w:val="0"/>
        <w:spacing w:line="560" w:lineRule="exact"/>
        <w:ind w:firstLine="560" w:firstLineChars="200"/>
        <w:rPr>
          <w:rFonts w:ascii="仿宋" w:hAnsi="仿宋" w:eastAsia="仿宋" w:cs="仿宋"/>
          <w:color w:val="auto"/>
          <w:sz w:val="30"/>
          <w:szCs w:val="30"/>
        </w:rPr>
      </w:pPr>
      <w:r>
        <w:rPr>
          <w:rFonts w:hint="eastAsia" w:ascii="仿宋" w:hAnsi="仿宋" w:eastAsia="仿宋" w:cs="仿宋"/>
          <w:color w:val="auto"/>
          <w:sz w:val="28"/>
          <w:szCs w:val="28"/>
        </w:rPr>
        <w:t>（二）支付宝扫码缴费</w:t>
      </w:r>
      <w:r>
        <w:rPr>
          <w:rFonts w:hint="eastAsia" w:ascii="仿宋" w:hAnsi="仿宋" w:eastAsia="仿宋" w:cs="仿宋"/>
          <w:color w:val="auto"/>
          <w:sz w:val="30"/>
          <w:szCs w:val="30"/>
        </w:rPr>
        <w:t>（需备注姓名或者代表队名称）</w:t>
      </w:r>
    </w:p>
    <w:p w14:paraId="321BF0E0">
      <w:pPr>
        <w:adjustRightInd w:val="0"/>
        <w:snapToGrid w:val="0"/>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drawing>
          <wp:inline distT="0" distB="0" distL="114300" distR="114300">
            <wp:extent cx="1588135" cy="2078355"/>
            <wp:effectExtent l="0" t="0" r="12065" b="4445"/>
            <wp:docPr id="1" name="图片 1" descr="公司支付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支付码"/>
                    <pic:cNvPicPr>
                      <a:picLocks noChangeAspect="1"/>
                    </pic:cNvPicPr>
                  </pic:nvPicPr>
                  <pic:blipFill>
                    <a:blip r:embed="rId4"/>
                    <a:stretch>
                      <a:fillRect/>
                    </a:stretch>
                  </pic:blipFill>
                  <pic:spPr>
                    <a:xfrm>
                      <a:off x="0" y="0"/>
                      <a:ext cx="1588135" cy="2078355"/>
                    </a:xfrm>
                    <a:prstGeom prst="rect">
                      <a:avLst/>
                    </a:prstGeom>
                  </pic:spPr>
                </pic:pic>
              </a:graphicData>
            </a:graphic>
          </wp:inline>
        </w:drawing>
      </w:r>
    </w:p>
    <w:p w14:paraId="567BE242">
      <w:pPr>
        <w:adjustRightInd w:val="0"/>
        <w:snapToGrid w:val="0"/>
        <w:spacing w:line="560" w:lineRule="exact"/>
        <w:ind w:firstLine="560" w:firstLineChars="200"/>
        <w:rPr>
          <w:rFonts w:ascii="仿宋" w:hAnsi="仿宋" w:eastAsia="仿宋" w:cs="仿宋"/>
          <w:color w:val="auto"/>
          <w:sz w:val="28"/>
          <w:szCs w:val="28"/>
        </w:rPr>
      </w:pPr>
    </w:p>
    <w:p w14:paraId="6744699B">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财务联系人：杨林燕18057130006</w:t>
      </w:r>
    </w:p>
    <w:p w14:paraId="36D722F4">
      <w:pPr>
        <w:adjustRightInd w:val="0"/>
        <w:snapToGrid w:val="0"/>
        <w:spacing w:line="560" w:lineRule="exact"/>
        <w:ind w:firstLine="561" w:firstLineChars="200"/>
        <w:rPr>
          <w:rFonts w:ascii="方正大黑简体" w:hAnsi="方正大黑简体" w:eastAsia="方正大黑简体" w:cs="方正大黑简体"/>
          <w:b/>
          <w:bCs/>
          <w:color w:val="auto"/>
          <w:sz w:val="28"/>
          <w:szCs w:val="28"/>
        </w:rPr>
      </w:pPr>
      <w:r>
        <w:rPr>
          <w:rFonts w:hint="eastAsia" w:ascii="方正大黑简体" w:hAnsi="方正大黑简体" w:eastAsia="方正大黑简体" w:cs="方正大黑简体"/>
          <w:b/>
          <w:bCs/>
          <w:color w:val="auto"/>
          <w:sz w:val="28"/>
          <w:szCs w:val="28"/>
        </w:rPr>
        <w:t>十六、其他</w:t>
      </w:r>
    </w:p>
    <w:p w14:paraId="7B9BD7A1">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（一）各代表队报到当天，如需组委会安排车辆到高铁千岛湖站接站，请于11月15日前跟组委会后勤服务组预约，告诉接站的具体时间、人数等相关事项。预约后因故变化，请及时向后勤服务组变更。</w:t>
      </w:r>
    </w:p>
    <w:p w14:paraId="1F96AF60">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后勤服务组联系人姓名：俞锦瑞19560159169</w:t>
      </w:r>
    </w:p>
    <w:p w14:paraId="06C594DA">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（二）各代表队住宿不作统一安排，大赛组委会将公布以协议价商定的大赛接待酒店名单（包括简要介绍），供代表队自行选择和预订。如需组委会帮助预订，请联系组委会后勤服务组。</w:t>
      </w:r>
    </w:p>
    <w:p w14:paraId="218AF05C">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（三）11月23日比赛当天，组委会将按各代表队参赛人数（含领队、教练）免费提供盒饭（含中餐和晚餐）。</w:t>
      </w:r>
    </w:p>
    <w:p w14:paraId="17ACF483">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（四）有关比赛的重要信息，将通过浙江省武术协会官方网站、和秩序册中的《参赛须知》予以公布，请参赛代表队和选手随时关注，准时参赛。</w:t>
      </w:r>
    </w:p>
    <w:p w14:paraId="72A72544">
      <w:pPr>
        <w:adjustRightInd w:val="0"/>
        <w:snapToGrid w:val="0"/>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（四）运动员健康状况不符合参赛要求的，取消参赛资格。</w:t>
      </w:r>
    </w:p>
    <w:p w14:paraId="6E248EE7">
      <w:pPr>
        <w:adjustRightInd w:val="0"/>
        <w:snapToGrid w:val="0"/>
        <w:spacing w:line="560" w:lineRule="exact"/>
        <w:ind w:firstLine="561" w:firstLineChars="200"/>
        <w:rPr>
          <w:rFonts w:ascii="方正大黑简体" w:hAnsi="方正大黑简体" w:eastAsia="方正大黑简体" w:cs="方正大黑简体"/>
          <w:b/>
          <w:bCs/>
          <w:color w:val="auto"/>
          <w:sz w:val="28"/>
          <w:szCs w:val="28"/>
        </w:rPr>
      </w:pPr>
      <w:r>
        <w:rPr>
          <w:rFonts w:hint="eastAsia" w:ascii="方正大黑简体" w:hAnsi="方正大黑简体" w:eastAsia="方正大黑简体" w:cs="方正大黑简体"/>
          <w:b/>
          <w:bCs/>
          <w:color w:val="auto"/>
          <w:sz w:val="28"/>
          <w:szCs w:val="28"/>
        </w:rPr>
        <w:t>十八、未尽事宜，另行通知。</w:t>
      </w:r>
    </w:p>
    <w:p w14:paraId="10415435">
      <w:pPr>
        <w:adjustRightInd w:val="0"/>
        <w:snapToGrid w:val="0"/>
        <w:spacing w:line="560" w:lineRule="exact"/>
        <w:ind w:firstLine="561" w:firstLineChars="200"/>
        <w:rPr>
          <w:rFonts w:ascii="方正大黑简体" w:hAnsi="方正大黑简体" w:eastAsia="方正大黑简体" w:cs="方正大黑简体"/>
          <w:b/>
          <w:bCs/>
          <w:color w:val="auto"/>
          <w:sz w:val="28"/>
          <w:szCs w:val="28"/>
        </w:rPr>
      </w:pPr>
      <w:r>
        <w:rPr>
          <w:rFonts w:hint="eastAsia" w:ascii="方正大黑简体" w:hAnsi="方正大黑简体" w:eastAsia="方正大黑简体" w:cs="方正大黑简体"/>
          <w:b/>
          <w:bCs/>
          <w:color w:val="auto"/>
          <w:sz w:val="28"/>
          <w:szCs w:val="28"/>
        </w:rPr>
        <w:t>十九、最终解释权归本赛事组委会所有。</w:t>
      </w:r>
    </w:p>
    <w:p w14:paraId="20EC08F5">
      <w:pPr>
        <w:adjustRightInd w:val="0"/>
        <w:snapToGrid w:val="0"/>
        <w:spacing w:line="560" w:lineRule="exact"/>
        <w:ind w:firstLine="560" w:firstLineChars="200"/>
        <w:rPr>
          <w:rFonts w:ascii="仿宋" w:hAnsi="仿宋" w:eastAsia="仿宋" w:cs="仿宋"/>
          <w:color w:val="auto"/>
          <w:sz w:val="28"/>
          <w:szCs w:val="28"/>
        </w:rPr>
      </w:pPr>
    </w:p>
    <w:p w14:paraId="5C83179E">
      <w:pPr>
        <w:adjustRightInd w:val="0"/>
        <w:snapToGrid w:val="0"/>
        <w:spacing w:line="560" w:lineRule="exact"/>
        <w:rPr>
          <w:rFonts w:ascii="仿宋" w:hAnsi="仿宋" w:eastAsia="仿宋" w:cs="仿宋"/>
          <w:color w:val="auto"/>
          <w:sz w:val="28"/>
          <w:szCs w:val="28"/>
        </w:rPr>
      </w:pPr>
    </w:p>
    <w:p w14:paraId="7ADC96DD">
      <w:pPr>
        <w:adjustRightInd w:val="0"/>
        <w:snapToGrid w:val="0"/>
        <w:spacing w:line="560" w:lineRule="exact"/>
        <w:rPr>
          <w:rFonts w:ascii="仿宋" w:hAnsi="仿宋" w:eastAsia="仿宋" w:cs="仿宋"/>
          <w:color w:val="auto"/>
          <w:sz w:val="28"/>
          <w:szCs w:val="28"/>
        </w:rPr>
      </w:pPr>
      <w:r>
        <w:rPr>
          <w:rFonts w:hint="eastAsia" w:ascii="仿宋" w:hAnsi="仿宋" w:eastAsia="仿宋" w:cs="仿宋"/>
          <w:color w:val="auto"/>
          <w:sz w:val="28"/>
          <w:szCs w:val="28"/>
        </w:rPr>
        <w:t>附件：</w:t>
      </w:r>
    </w:p>
    <w:p w14:paraId="45EBCE6F">
      <w:pPr>
        <w:adjustRightInd w:val="0"/>
        <w:snapToGrid w:val="0"/>
        <w:spacing w:line="560" w:lineRule="exact"/>
        <w:rPr>
          <w:rFonts w:ascii="仿宋" w:hAnsi="仿宋" w:eastAsia="仿宋" w:cs="仿宋"/>
          <w:color w:val="auto"/>
          <w:sz w:val="28"/>
          <w:szCs w:val="28"/>
        </w:rPr>
      </w:pPr>
      <w:r>
        <w:rPr>
          <w:rFonts w:hint="eastAsia" w:ascii="仿宋" w:hAnsi="仿宋" w:eastAsia="仿宋" w:cs="仿宋"/>
          <w:color w:val="auto"/>
          <w:sz w:val="28"/>
          <w:szCs w:val="28"/>
        </w:rPr>
        <w:t>1. 桐庐县分水镇简介</w:t>
      </w:r>
    </w:p>
    <w:p w14:paraId="5B8E3711">
      <w:pPr>
        <w:adjustRightInd w:val="0"/>
        <w:snapToGrid w:val="0"/>
        <w:spacing w:line="560" w:lineRule="exact"/>
        <w:rPr>
          <w:rFonts w:ascii="仿宋" w:hAnsi="仿宋" w:eastAsia="仿宋" w:cs="仿宋"/>
          <w:color w:val="auto"/>
          <w:sz w:val="28"/>
          <w:szCs w:val="28"/>
        </w:rPr>
      </w:pPr>
      <w:r>
        <w:rPr>
          <w:rFonts w:hint="eastAsia" w:ascii="仿宋" w:hAnsi="仿宋" w:eastAsia="仿宋" w:cs="仿宋"/>
          <w:color w:val="auto"/>
          <w:sz w:val="28"/>
          <w:szCs w:val="28"/>
        </w:rPr>
        <w:t xml:space="preserve">2.《浙江省基层武术辅导站基本情况登记表》 </w:t>
      </w:r>
    </w:p>
    <w:p w14:paraId="0A4745CF">
      <w:pPr>
        <w:adjustRightInd w:val="0"/>
        <w:snapToGrid w:val="0"/>
        <w:spacing w:line="560" w:lineRule="exact"/>
        <w:rPr>
          <w:rFonts w:ascii="仿宋" w:hAnsi="仿宋" w:eastAsia="仿宋" w:cs="仿宋"/>
          <w:color w:val="auto"/>
          <w:sz w:val="28"/>
          <w:szCs w:val="28"/>
        </w:rPr>
      </w:pPr>
      <w:r>
        <w:rPr>
          <w:rFonts w:hint="eastAsia" w:ascii="仿宋" w:hAnsi="仿宋" w:eastAsia="仿宋" w:cs="仿宋"/>
          <w:color w:val="auto"/>
          <w:sz w:val="28"/>
          <w:szCs w:val="28"/>
        </w:rPr>
        <w:t>3.《浙江省基层武术辅导站信息汇总表》</w:t>
      </w:r>
    </w:p>
    <w:p w14:paraId="1FBF35A6">
      <w:pPr>
        <w:adjustRightInd w:val="0"/>
        <w:snapToGrid w:val="0"/>
        <w:spacing w:line="560" w:lineRule="exact"/>
        <w:rPr>
          <w:rFonts w:ascii="仿宋" w:hAnsi="仿宋" w:eastAsia="仿宋" w:cs="仿宋"/>
          <w:color w:val="auto"/>
          <w:sz w:val="28"/>
          <w:szCs w:val="28"/>
        </w:rPr>
      </w:pPr>
      <w:r>
        <w:rPr>
          <w:rFonts w:hint="eastAsia" w:ascii="仿宋" w:hAnsi="仿宋" w:eastAsia="仿宋" w:cs="仿宋"/>
          <w:color w:val="auto"/>
          <w:sz w:val="28"/>
          <w:szCs w:val="28"/>
        </w:rPr>
        <w:t>4.《报名项目分类编号表》</w:t>
      </w:r>
    </w:p>
    <w:p w14:paraId="2FC5F89C">
      <w:pPr>
        <w:adjustRightInd w:val="0"/>
        <w:snapToGrid w:val="0"/>
        <w:spacing w:line="560" w:lineRule="exact"/>
        <w:rPr>
          <w:rFonts w:ascii="仿宋" w:hAnsi="仿宋" w:eastAsia="仿宋" w:cs="仿宋"/>
          <w:color w:val="auto"/>
          <w:sz w:val="28"/>
          <w:szCs w:val="28"/>
        </w:rPr>
      </w:pPr>
      <w:r>
        <w:rPr>
          <w:rFonts w:hint="eastAsia" w:ascii="仿宋" w:hAnsi="仿宋" w:eastAsia="仿宋" w:cs="仿宋"/>
          <w:color w:val="auto"/>
          <w:sz w:val="28"/>
          <w:szCs w:val="28"/>
        </w:rPr>
        <w:t>5.《2024年浙江省首届和美乡村太极拳总决赛</w:t>
      </w:r>
      <w:r>
        <w:rPr>
          <w:rFonts w:hint="eastAsia" w:ascii="仿宋" w:hAnsi="仿宋" w:eastAsia="仿宋" w:cs="仿宋"/>
          <w:color w:val="auto"/>
          <w:sz w:val="28"/>
          <w:szCs w:val="28"/>
        </w:rPr>
        <w:t>暨浙江省中国</w:t>
      </w:r>
      <w:r>
        <w:rPr>
          <w:rFonts w:hint="eastAsia" w:ascii="仿宋" w:hAnsi="仿宋" w:eastAsia="仿宋" w:cs="仿宋"/>
          <w:color w:val="auto"/>
          <w:sz w:val="28"/>
          <w:szCs w:val="28"/>
        </w:rPr>
        <w:t xml:space="preserve">武术中段位考试规程》 </w:t>
      </w:r>
    </w:p>
    <w:p w14:paraId="5ED2BFA0">
      <w:pPr>
        <w:adjustRightInd w:val="0"/>
        <w:snapToGrid w:val="0"/>
        <w:spacing w:line="560" w:lineRule="exact"/>
        <w:rPr>
          <w:rFonts w:ascii="仿宋" w:hAnsi="仿宋" w:eastAsia="仿宋" w:cs="仿宋"/>
          <w:color w:val="auto"/>
          <w:sz w:val="28"/>
          <w:szCs w:val="28"/>
        </w:rPr>
      </w:pPr>
      <w:r>
        <w:rPr>
          <w:rFonts w:hint="eastAsia" w:ascii="仿宋" w:hAnsi="仿宋" w:eastAsia="仿宋" w:cs="仿宋"/>
          <w:color w:val="auto"/>
          <w:sz w:val="28"/>
          <w:szCs w:val="28"/>
        </w:rPr>
        <w:t>6.《2024年浙江省首届和美乡村太极拳联赛总决赛责任声明书》</w:t>
      </w:r>
    </w:p>
    <w:p w14:paraId="21E5947F">
      <w:pPr>
        <w:spacing w:line="360" w:lineRule="auto"/>
        <w:rPr>
          <w:rFonts w:ascii="仿宋" w:hAnsi="仿宋" w:eastAsia="仿宋" w:cs="仿宋"/>
          <w:color w:val="auto"/>
          <w:sz w:val="28"/>
          <w:szCs w:val="28"/>
        </w:rPr>
      </w:pPr>
    </w:p>
    <w:p w14:paraId="09050A03">
      <w:pPr>
        <w:spacing w:line="360" w:lineRule="auto"/>
        <w:rPr>
          <w:rFonts w:ascii="仿宋" w:hAnsi="仿宋" w:eastAsia="仿宋" w:cs="仿宋"/>
          <w:color w:val="auto"/>
          <w:sz w:val="28"/>
          <w:szCs w:val="28"/>
        </w:rPr>
      </w:pPr>
    </w:p>
    <w:p w14:paraId="2484C825">
      <w:pPr>
        <w:spacing w:line="360" w:lineRule="auto"/>
        <w:rPr>
          <w:rFonts w:ascii="仿宋" w:hAnsi="仿宋" w:eastAsia="仿宋" w:cs="仿宋"/>
          <w:color w:val="auto"/>
          <w:sz w:val="28"/>
          <w:szCs w:val="28"/>
        </w:rPr>
      </w:pPr>
    </w:p>
    <w:p w14:paraId="2F657998">
      <w:pPr>
        <w:spacing w:line="360" w:lineRule="auto"/>
        <w:rPr>
          <w:rFonts w:ascii="仿宋" w:hAnsi="仿宋" w:eastAsia="仿宋" w:cs="仿宋"/>
          <w:color w:val="auto"/>
          <w:sz w:val="28"/>
          <w:szCs w:val="28"/>
        </w:rPr>
      </w:pPr>
    </w:p>
    <w:p w14:paraId="33B64B30">
      <w:pPr>
        <w:spacing w:line="360" w:lineRule="auto"/>
        <w:rPr>
          <w:rFonts w:ascii="仿宋" w:hAnsi="仿宋" w:eastAsia="仿宋" w:cs="仿宋"/>
          <w:color w:val="auto"/>
          <w:sz w:val="28"/>
          <w:szCs w:val="28"/>
        </w:rPr>
      </w:pPr>
    </w:p>
    <w:p w14:paraId="19DE4607">
      <w:pPr>
        <w:spacing w:line="360" w:lineRule="auto"/>
        <w:rPr>
          <w:rFonts w:ascii="仿宋" w:hAnsi="仿宋" w:eastAsia="仿宋" w:cs="仿宋"/>
          <w:color w:val="auto"/>
          <w:sz w:val="28"/>
          <w:szCs w:val="28"/>
        </w:rPr>
      </w:pPr>
    </w:p>
    <w:p w14:paraId="58E525C7">
      <w:pPr>
        <w:spacing w:line="360" w:lineRule="auto"/>
        <w:rPr>
          <w:rFonts w:ascii="仿宋" w:hAnsi="仿宋" w:eastAsia="仿宋" w:cs="仿宋"/>
          <w:color w:val="auto"/>
          <w:sz w:val="28"/>
          <w:szCs w:val="28"/>
        </w:rPr>
      </w:pPr>
    </w:p>
    <w:p w14:paraId="4A2439E8">
      <w:pPr>
        <w:spacing w:line="360" w:lineRule="auto"/>
        <w:rPr>
          <w:rFonts w:ascii="仿宋" w:hAnsi="仿宋" w:eastAsia="仿宋" w:cs="仿宋"/>
          <w:color w:val="auto"/>
          <w:sz w:val="28"/>
          <w:szCs w:val="28"/>
        </w:rPr>
      </w:pPr>
    </w:p>
    <w:p w14:paraId="65B8E43E">
      <w:pPr>
        <w:spacing w:line="360" w:lineRule="auto"/>
        <w:rPr>
          <w:rFonts w:ascii="仿宋" w:hAnsi="仿宋" w:eastAsia="仿宋" w:cs="仿宋"/>
          <w:color w:val="auto"/>
          <w:sz w:val="28"/>
          <w:szCs w:val="28"/>
        </w:rPr>
      </w:pPr>
    </w:p>
    <w:p w14:paraId="481134EF">
      <w:pPr>
        <w:pStyle w:val="6"/>
        <w:tabs>
          <w:tab w:val="left" w:pos="965"/>
        </w:tabs>
        <w:spacing w:before="2" w:line="360" w:lineRule="auto"/>
        <w:ind w:left="0" w:right="745" w:firstLine="0"/>
        <w:jc w:val="left"/>
        <w:rPr>
          <w:color w:val="auto"/>
          <w:sz w:val="28"/>
          <w:szCs w:val="28"/>
          <w:lang w:val="en-US"/>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大黑简体">
    <w:altName w:val="汉仪中黑KW"/>
    <w:panose1 w:val="00000000000000000000"/>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4OTIwNTFjNzdjYjY5NjA5YTA2Y2IxZjFjMDFiMTEifQ=="/>
  </w:docVars>
  <w:rsids>
    <w:rsidRoot w:val="00A62B3C"/>
    <w:rsid w:val="00A62B3C"/>
    <w:rsid w:val="00C416AB"/>
    <w:rsid w:val="00D964CB"/>
    <w:rsid w:val="00E02D2E"/>
    <w:rsid w:val="00E97CEF"/>
    <w:rsid w:val="05AB7BBE"/>
    <w:rsid w:val="0D3F46E9"/>
    <w:rsid w:val="0E3F11B7"/>
    <w:rsid w:val="18282A16"/>
    <w:rsid w:val="1F120F82"/>
    <w:rsid w:val="207823BC"/>
    <w:rsid w:val="20A26336"/>
    <w:rsid w:val="2B5B5680"/>
    <w:rsid w:val="2C7C0DEE"/>
    <w:rsid w:val="2D1934DC"/>
    <w:rsid w:val="2E1D524D"/>
    <w:rsid w:val="35E36D7D"/>
    <w:rsid w:val="3C025A83"/>
    <w:rsid w:val="3C0359EA"/>
    <w:rsid w:val="3E507983"/>
    <w:rsid w:val="3F03353B"/>
    <w:rsid w:val="43E670F7"/>
    <w:rsid w:val="44E2630F"/>
    <w:rsid w:val="4C017B05"/>
    <w:rsid w:val="4CDE755A"/>
    <w:rsid w:val="502573E4"/>
    <w:rsid w:val="53217535"/>
    <w:rsid w:val="5FD11E68"/>
    <w:rsid w:val="613631D1"/>
    <w:rsid w:val="61575781"/>
    <w:rsid w:val="61A66F0C"/>
    <w:rsid w:val="62C2114E"/>
    <w:rsid w:val="64A2464C"/>
    <w:rsid w:val="6AEB5FDA"/>
    <w:rsid w:val="6D4F172C"/>
    <w:rsid w:val="70007F6A"/>
    <w:rsid w:val="7E0D3F64"/>
    <w:rsid w:val="7FB009AC"/>
    <w:rsid w:val="7FC36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332"/>
    </w:pPr>
    <w:rPr>
      <w:rFonts w:ascii="仿宋" w:hAnsi="仿宋" w:eastAsia="仿宋" w:cs="仿宋"/>
      <w:sz w:val="28"/>
      <w:szCs w:val="28"/>
      <w:lang w:val="zh-CN" w:bidi="zh-CN"/>
    </w:rPr>
  </w:style>
  <w:style w:type="paragraph" w:customStyle="1" w:styleId="5">
    <w:name w:val="Table Paragraph"/>
    <w:basedOn w:val="1"/>
    <w:qFormat/>
    <w:uiPriority w:val="1"/>
    <w:rPr>
      <w:rFonts w:ascii="宋体" w:hAnsi="宋体"/>
      <w:lang w:val="zh-CN" w:bidi="zh-CN"/>
    </w:rPr>
  </w:style>
  <w:style w:type="paragraph" w:styleId="6">
    <w:name w:val="List Paragraph"/>
    <w:basedOn w:val="1"/>
    <w:qFormat/>
    <w:uiPriority w:val="1"/>
    <w:pPr>
      <w:ind w:left="332" w:firstLine="561"/>
    </w:pPr>
    <w:rPr>
      <w:rFonts w:ascii="仿宋" w:hAnsi="仿宋" w:eastAsia="仿宋" w:cs="仿宋"/>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6024</Words>
  <Characters>6415</Characters>
  <Lines>47</Lines>
  <Paragraphs>13</Paragraphs>
  <TotalTime>1</TotalTime>
  <ScaleCrop>false</ScaleCrop>
  <LinksUpToDate>false</LinksUpToDate>
  <CharactersWithSpaces>6547</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2024-09-30T21:40:00Z</dcterms:created>
  <dc:creator>戴崇高 《小康》</dc:creator>
  <cp:lastModifiedBy>企业用户_270191524</cp:lastModifiedBy>
  <dcterms:modified xsi:type="dcterms:W3CDTF">2024-09-30T21:56:35Z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459F46D45B5D48B813AEFA66E7D48BD8_43</vt:lpwstr>
  </property>
</Properties>
</file>