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B8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212529"/>
          <w:spacing w:val="0"/>
          <w:sz w:val="36"/>
          <w:szCs w:val="36"/>
        </w:rPr>
      </w:pPr>
      <w:r>
        <w:rPr>
          <w:rFonts w:hint="eastAsia" w:ascii="黑体" w:hAnsi="黑体" w:eastAsia="黑体" w:cs="黑体"/>
          <w:i w:val="0"/>
          <w:iCs w:val="0"/>
          <w:caps w:val="0"/>
          <w:color w:val="212529"/>
          <w:spacing w:val="0"/>
          <w:sz w:val="36"/>
          <w:szCs w:val="36"/>
          <w:shd w:val="clear" w:fill="FFFFFF"/>
        </w:rPr>
        <w:t>关于实行党风廉政建设责任制的规定</w:t>
      </w:r>
    </w:p>
    <w:p w14:paraId="7F5B3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999999"/>
          <w:spacing w:val="0"/>
          <w:sz w:val="28"/>
          <w:szCs w:val="28"/>
        </w:rPr>
      </w:pP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666666"/>
          <w:spacing w:val="0"/>
          <w:kern w:val="0"/>
          <w:sz w:val="28"/>
          <w:szCs w:val="28"/>
          <w:u w:val="none"/>
          <w:shd w:val="clear" w:fill="FFFFFF"/>
          <w:lang w:val="en-US" w:eastAsia="zh-CN" w:bidi="ar"/>
        </w:rPr>
        <w:instrText xml:space="preserve"> HYPERLINK "http://service.weibo.com/share/share.php?url=https://tyj.zj.gov.cn/art/2020/7/18/art_1229134509_51346534.html&amp;title=%E5%85%B3%E4%BA%8E%E5%AE%9E%E8%A1%8C%E5%85%9A%E9%A3%8E%E5%BB%89%E6%94%BF%E5%BB%BA%E8%AE%BE%E8%B4%A3%E4%BB%BB%E5%88%B6%E7%9A%84%E8%A7%84%E5%AE%9A&amp;pic=https://zjjcmspublic.oss-cn-hangzhou-zwynet-d01-a.internet.cloud.zj.gov.cn/jcms_files/jcms1/web2485/site/picture/1925/2409121117371585235.png&amp;appkey=" \t "https://tyj.zj.gov.cn/art/2020/7/18/_blank" </w:instrText>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666666"/>
          <w:spacing w:val="0"/>
          <w:kern w:val="0"/>
          <w:sz w:val="28"/>
          <w:szCs w:val="28"/>
          <w:u w:val="none"/>
          <w:shd w:val="clear" w:fill="FFFFFF"/>
          <w:lang w:val="en-US" w:eastAsia="zh-CN" w:bidi="ar"/>
        </w:rPr>
        <w:instrText xml:space="preserve"> HYPERLINK "javascript:;" </w:instrText>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666666"/>
          <w:spacing w:val="0"/>
          <w:kern w:val="0"/>
          <w:sz w:val="28"/>
          <w:szCs w:val="28"/>
          <w:u w:val="none"/>
          <w:shd w:val="clear" w:fill="FFFFFF"/>
          <w:lang w:val="en-US" w:eastAsia="zh-CN" w:bidi="ar"/>
        </w:rPr>
        <w:instrText xml:space="preserve"> HYPERLINK "http://sns.qzone.qq.com/cgi-bin/qzshare/cgi_qzshare_onekey?url=https://tyj.zj.gov.cn/art/2020/7/18/art_1229134509_51346534.html&amp;title=%E5%85%B3%E4%BA%8E%E5%AE%9E%E8%A1%8C%E5%85%9A%E9%A3%8E%E5%BB%89%E6%94%BF%E5%BB%BA%E8%AE%BE%E8%B4%A3%E4%BB%BB%E5%88%B6%E7%9A%84%E8%A7%84%E5%AE%9A&amp;desc=&amp;summary=&amp;site=%E5%85%B3%E4%BA%8E%E5%AE%9E%E8%A1%8C%E5%85%9A%E9%A3%8E%E5%BB%89%E6%94%BF%E5%BB%BA%E8%AE%BE%E8%B4%A3%E4%BB%BB%E5%88%B6%E7%9A%84%E8%A7%84%E5%AE%9A" \t "https://tyj.zj.gov.cn/art/2020/7/18/_blank" </w:instrText>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separate"/>
      </w:r>
      <w:r>
        <w:rPr>
          <w:rFonts w:hint="eastAsia" w:ascii="仿宋" w:hAnsi="仿宋" w:eastAsia="仿宋" w:cs="仿宋"/>
          <w:i w:val="0"/>
          <w:iCs w:val="0"/>
          <w:caps w:val="0"/>
          <w:color w:val="666666"/>
          <w:spacing w:val="0"/>
          <w:kern w:val="0"/>
          <w:sz w:val="28"/>
          <w:szCs w:val="28"/>
          <w:u w:val="none"/>
          <w:shd w:val="clear" w:fill="FFFFFF"/>
          <w:lang w:val="en-US" w:eastAsia="zh-CN" w:bidi="ar"/>
        </w:rPr>
        <w:fldChar w:fldCharType="end"/>
      </w:r>
    </w:p>
    <w:p w14:paraId="29A41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212529"/>
          <w:spacing w:val="0"/>
          <w:sz w:val="28"/>
          <w:szCs w:val="28"/>
          <w:shd w:val="clear" w:fill="FFFFFF"/>
        </w:rPr>
        <w:t>第一章　总　则</w:t>
      </w:r>
    </w:p>
    <w:p w14:paraId="35B1D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第一条　为了加强党风廉政建设，明确领导班子、领导干部在党风廉政建设中的责任，推动科学发展，促进社会和谐，提高党的执政能力，保持和发展党的先进性，根据《中华人民共和国宪法》和《中国共产党章程》，制定本规定。</w:t>
      </w:r>
    </w:p>
    <w:p w14:paraId="42447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第二条　本规定适用于各级党的机关、人大机关、行政机关、政协机关、审判机关、检察机关的领导班子、领导干部。</w:t>
      </w:r>
    </w:p>
    <w:p w14:paraId="67547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人民团体、国有和国有控股企业（含国有和国有控股金融企业）、事业单位的领导班子、领导干部参照执行本规定。</w:t>
      </w:r>
    </w:p>
    <w:p w14:paraId="521F1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第三条　实行党风廉政建设责任制，要以邓小平理论和“三个代表”重要思想为指导，深入贯彻落实科学发展观，坚持党要管党、全面从严治党，坚持标本兼治、综合治理、惩防并举、注重预防，扎实推进惩治和预防腐败体系建设，保证党中央、国务院关于党风廉政建设的决策和部署的贯彻落实。</w:t>
      </w:r>
    </w:p>
    <w:p w14:paraId="487FA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第四条　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p>
    <w:p w14:paraId="06C7D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第五条　实行党风廉政建设责任制，要坚持集体领导与个人分工负责相结合，谁主管、谁负责，一级抓一级、层层抓落实。</w:t>
      </w:r>
    </w:p>
    <w:p w14:paraId="7545F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212529"/>
          <w:spacing w:val="0"/>
          <w:sz w:val="28"/>
          <w:szCs w:val="28"/>
          <w:shd w:val="clear" w:fill="FFFFFF"/>
        </w:rPr>
        <w:t>第二章　责任内容</w:t>
      </w:r>
    </w:p>
    <w:p w14:paraId="3D308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第六条　领导班子对职责范围内的党风廉政建设负全面领导责任。</w:t>
      </w:r>
    </w:p>
    <w:p w14:paraId="59F1A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领导班子主要负责人是职责范围内的党风廉政建设第一责任人，应当重要工作亲自部署、重大问题亲自过问、重点环节亲自协调、重要案件亲自督办。</w:t>
      </w:r>
    </w:p>
    <w:p w14:paraId="6C1CB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领导班子其他成员根据工作分工，对职责范围内的党风廉政建设负主要领导责任。</w:t>
      </w:r>
    </w:p>
    <w:p w14:paraId="2DA08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第七条　领导班子、领导干部在党风廉政建设中承担以下领导责任：</w:t>
      </w:r>
    </w:p>
    <w:p w14:paraId="2196E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14:paraId="70987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（二）开展党性党风党纪和廉洁从政教育，组织党员、干部学习党风廉政建设理论和法规制度，加强廉政文化建设；</w:t>
      </w:r>
    </w:p>
    <w:p w14:paraId="09063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（三）贯彻落实党风廉政法规制度，推进制度创新，深化体制机制改革，从源头上预防和治理腐败；</w:t>
      </w:r>
    </w:p>
    <w:p w14:paraId="2E372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（四）强化权力制约和监督，建立健全决策权、执行权、监督权既相互制约又相互协调的权力结构和运行机制，推进权力运行程序化和公开透明；</w:t>
      </w:r>
    </w:p>
    <w:p w14:paraId="04F79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（五）监督检查本地区、本部门、本系统的党风廉政建设情况和下级领导班子、领导干部廉洁从政情况；</w:t>
      </w:r>
    </w:p>
    <w:p w14:paraId="42A02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（六）严格按照规定选拔任用干部，防止和纠正选人用人上的不正之风；</w:t>
      </w:r>
    </w:p>
    <w:p w14:paraId="32D20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（七）加强作风建设，纠正损害群众利益的不正之风，切实解决党风政风方面存在的突出问题；</w:t>
      </w:r>
    </w:p>
    <w:p w14:paraId="694A5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（八）领导、组织并支持执纪执法机关依纪依法履行职责，及时听取工作汇报，切实解决重大问题。</w:t>
      </w:r>
    </w:p>
    <w:p w14:paraId="2458F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212529"/>
          <w:spacing w:val="0"/>
          <w:sz w:val="28"/>
          <w:szCs w:val="28"/>
          <w:shd w:val="clear" w:fill="FFFFFF"/>
        </w:rPr>
        <w:t>第三章　检查考核与监督</w:t>
      </w:r>
    </w:p>
    <w:p w14:paraId="6784D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第八条　党委（党组）应当建立党风廉政建设责任制的检查考核制度，建立健全检查考核机制，制定检查考核的评价标准、指标体系，明确检查考核的内容、方法、程序。</w:t>
      </w:r>
    </w:p>
    <w:p w14:paraId="42FB9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第九条　党委（党组）应当建立健全党风廉政建设责任制领导小组，负责对下一级领导班子、领导干部党风廉政建设责任制执行情况的检查考核。</w:t>
      </w:r>
    </w:p>
    <w:p w14:paraId="0F5C5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第十条　检查考核工作每年进行一次。检查考核可以与领导班子、领导干部工作目标考核、年度考核、惩治和预防腐败体系建设检查工作等结合进行，也可以组织专门检查考核。</w:t>
      </w:r>
    </w:p>
    <w:p w14:paraId="72101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检查考核情况应当及时向同级党委（党组）报告。</w:t>
      </w:r>
    </w:p>
    <w:p w14:paraId="40140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第十一条　党委（党组）应当将检查考核情况在适当范围内通报。对检查考核中发现的问题，要及时研究解决，督促整改落实。</w:t>
      </w:r>
    </w:p>
    <w:p w14:paraId="0D5C0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第十二条　党委（党组）应当建立和完善检查考核结果运用制度。检查考核结果作为对领导班子总体评价和领导干部业绩评定、奖励惩处、选拔任用的重要依据。</w:t>
      </w:r>
    </w:p>
    <w:p w14:paraId="285A7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第十三条　纪检监察机关（机构）、组织人事部门协助同级党委（党组）开展对党风廉政建设责任制执行情况的检查考核,或者根据职责开展检查工作。</w:t>
      </w:r>
    </w:p>
    <w:p w14:paraId="4F9A5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第十四条　党委常委会应当将执行党风廉政建设责任制的情况，作为向同级党的委员会全体会议报告工作的一项重要内容。</w:t>
      </w:r>
    </w:p>
    <w:p w14:paraId="66732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第十五条　领导干部执行党风廉政建设责任制的情况，应当列为民主生活会和述职述廉的重要内容，并在本单位、本部门进行评议。</w:t>
      </w:r>
    </w:p>
    <w:p w14:paraId="682CE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第十六条　党委（党组）应当将贯彻落实党风廉政建设责任制的情况，每年专题报告上一级党委（党组）和纪委。</w:t>
      </w:r>
    </w:p>
    <w:p w14:paraId="2499D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第十七条　中央和省、自治区、直辖市党委巡视组应当依照巡视工作的有关规定，加强对有关党组织领导班子及其成员执行党风廉政建设责任制情况的巡视监督。</w:t>
      </w:r>
    </w:p>
    <w:p w14:paraId="53CBB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第十八条　党委（党组）应当结合本地区、本部门、本系统实际，建立走访座谈、社会问卷调查等党风廉政建设社会评价机制，动员和组织党员、群众有序参与，广泛接受监督。</w:t>
      </w:r>
    </w:p>
    <w:p w14:paraId="4BF9E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212529"/>
          <w:spacing w:val="0"/>
          <w:sz w:val="28"/>
          <w:szCs w:val="28"/>
          <w:shd w:val="clear" w:fill="FFFFFF"/>
        </w:rPr>
        <w:t>第四章　责任追究</w:t>
      </w:r>
    </w:p>
    <w:p w14:paraId="7EAD6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第十九条　领导班子、领导干部违反或者未能正确履行本规定第七条规定的职责，有下列情形之一的，应当追究责任：</w:t>
      </w:r>
    </w:p>
    <w:p w14:paraId="4CEF6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（一）对党风廉政建设工作领导不力，以致职责范围内明令禁止的不正之风得不到有效治理，造成不良影响的；</w:t>
      </w:r>
      <w:bookmarkStart w:id="0" w:name="_GoBack"/>
      <w:bookmarkEnd w:id="0"/>
    </w:p>
    <w:p w14:paraId="7678C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（二）对上级领导机关交办的党风廉政建设责任范围内的事项不传达贯彻、不安排部署、不督促落实，或者拒不办理的；</w:t>
      </w:r>
    </w:p>
    <w:p w14:paraId="6152C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（三）对本地区、本部门、本系统发现的严重违纪违法行为隐瞒不报、压案不查的；</w:t>
      </w:r>
    </w:p>
    <w:p w14:paraId="52C47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（四）疏于监督管理，致使领导班子成员或者直接管辖的下属发生严重违纪违法问题的；</w:t>
      </w:r>
    </w:p>
    <w:p w14:paraId="6BE2E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（五）违反规定选拔任用干部，或者用人失察、失误造成恶劣影响的；</w:t>
      </w:r>
    </w:p>
    <w:p w14:paraId="33C8A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（六）放任、包庇、纵容下属人员违反财政、金融、税务、审计、统计等法律法规，弄虚作假的；</w:t>
      </w:r>
    </w:p>
    <w:p w14:paraId="523FD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（七）有其他违反党风廉政建设责任制行为的。</w:t>
      </w:r>
    </w:p>
    <w:p w14:paraId="5F944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第二十条　领导班子有本规定第十九条所列情形，情节较轻的，责令作出书面检查；情节较重的，给予通报批评；情节严重的，进行调整处理。</w:t>
      </w:r>
    </w:p>
    <w:p w14:paraId="16CD2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第二十一条　领导干部有本规定第十九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14:paraId="26F5F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以上责任追究方式可以单独使用，也可以合并使用。</w:t>
      </w:r>
    </w:p>
    <w:p w14:paraId="79658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第二十二条　领导班子、领导干部具有本规定第十九条所列情形，并具有下列情节之一的，应当从重追究责任：</w:t>
      </w:r>
    </w:p>
    <w:p w14:paraId="5898A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（一）对职责范围内发生的问题进行掩盖、袒护的；</w:t>
      </w:r>
    </w:p>
    <w:p w14:paraId="79DC9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（二）干扰、阻碍责任追究调查处理的。</w:t>
      </w:r>
    </w:p>
    <w:p w14:paraId="6D36F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第二十三条　领导班子、领导干部具有本规定第十九条所列情形，并具有下列情节之一的，可以从轻或者减轻追究责任：</w:t>
      </w:r>
    </w:p>
    <w:p w14:paraId="554D2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（一）对职责范围内发生的问题及时如实报告并主动查处和纠正，有效避免损失或者挽回影响的；</w:t>
      </w:r>
    </w:p>
    <w:p w14:paraId="15B20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（二）认真整改，成效明显的。</w:t>
      </w:r>
    </w:p>
    <w:p w14:paraId="576C8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第二十四条　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w:t>
      </w:r>
    </w:p>
    <w:p w14:paraId="1A30D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第二十五条　实施责任追究，要实事求是，分清集体责任和个人责任、主要领导责任和重要领导责任。</w:t>
      </w:r>
    </w:p>
    <w:p w14:paraId="0E2A7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追究集体责任时，领导班子主要负责人和直接主管的领导班子成员承担主要领导责任，参与决策的班子其他成员承担重要领导责任。对错误决策提出明确反对意见而没有被采纳的，不承担领导责任。</w:t>
      </w:r>
    </w:p>
    <w:p w14:paraId="378C4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错误决策由领导干部个人决定或者批准的，追究该领导干部个人的责任。</w:t>
      </w:r>
    </w:p>
    <w:p w14:paraId="29048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第二十六条　实施责任追究不因领导干部工作岗位或者职务的变动而免予追究。已退休但按照本规定应当追究责任的，仍须进行相应的责任追究。</w:t>
      </w:r>
    </w:p>
    <w:p w14:paraId="4E3F9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第二十七条　受到责任追究的领导班子、领导干部，取消当年年度考核评优和评选各类先进的资格。</w:t>
      </w:r>
    </w:p>
    <w:p w14:paraId="1FD08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单独受到责令辞职、免职处理的领导干部，一年内不得重新担任与其原任职务相当的领导职务；受到降职处理的，两年内不得提升职务。同时受到党纪政纪处分和组织处理的，按影响期较长的执行。</w:t>
      </w:r>
    </w:p>
    <w:p w14:paraId="33723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第二十八条　各级纪检监察机关应当加强对下级党委（党组）、政府实施责任追究情况的监督检查，发现有应当追究而未追究或者责任追究处理决定不落实等问题的，应当及时督促下级党委（党组）、政府予以纠正。</w:t>
      </w:r>
    </w:p>
    <w:p w14:paraId="30010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212529"/>
          <w:spacing w:val="0"/>
          <w:sz w:val="28"/>
          <w:szCs w:val="28"/>
          <w:shd w:val="clear" w:fill="FFFFFF"/>
        </w:rPr>
        <w:t>第五章　附　则</w:t>
      </w:r>
    </w:p>
    <w:p w14:paraId="74D26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第二十九条　各省、自治区、直辖市，中央和国家机关各部委可以根据本规定制定实施办法。</w:t>
      </w:r>
    </w:p>
    <w:p w14:paraId="27047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第三十条　中央军委可以根据本规定，结合中国人民解放军和中国人民武装警察部队的实际情况，制定具体规定。</w:t>
      </w:r>
    </w:p>
    <w:p w14:paraId="1CC48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第三十一条　本规定由中央纪委、监察部负责解释。</w:t>
      </w:r>
    </w:p>
    <w:p w14:paraId="5BA6A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shd w:val="clear" w:fill="FFFFFF"/>
        </w:rPr>
        <w:t>第三十二条　本规定自发布之日起施行。1998年11月发布的《关于实行党风廉政建设责任制的规定》同时废止。</w:t>
      </w:r>
    </w:p>
    <w:p w14:paraId="7134D946">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3216E"/>
    <w:rsid w:val="4609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1858</Words>
  <Characters>1876</Characters>
  <Lines>0</Lines>
  <Paragraphs>0</Paragraphs>
  <TotalTime>1</TotalTime>
  <ScaleCrop>false</ScaleCrop>
  <LinksUpToDate>false</LinksUpToDate>
  <CharactersWithSpaces>1902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2025-10-06T08:37:00Z</dcterms:created>
  <dc:creator>赵洪伟</dc:creator>
  <cp:lastModifiedBy>长缨在手</cp:lastModifiedBy>
  <dcterms:modified xsi:type="dcterms:W3CDTF">2025-10-08T16:04:33Z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2228FC5B44E64345AD6CC5FD7E60EB32_12</vt:lpwstr>
  </property>
</Properties>
</file>